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Ways of Conceptualizing Feedback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In Chapter 4 of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Student-Faculty Pedagogical Partnerships in the Classroom and Curriculum: A How-To Guide for Faculty, Students, and Academic Developers in Higher Education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we mention that there are different ways of conceptualizing feedback that are worth considering in the context of student-faculty pedagogical partnerships. In this resource share the approach that Leslie Ortquist-Ahrens, Director of the Center for Teaching and Learning and Director of Faculty Development at Berea College, has developed.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Berea College Students as Partners Pilot Project | Spring 2018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Douglas Stone and Sheila Heen. (2014).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Thanks for the Feedback: The Science and Art of Receiving Feedback Well.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Penguin.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72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Stone and Heen are lecturers on Law at Harvard Law School and work with the Harvard Negotiation Project.  They are also co-authors with Bruce Patton of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Difficult Conversations: How to Discuss What Matters Most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(2000).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Three types of feedback*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Appreciation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—involves letting the receiver be “seen” and feel understood by someone in relationship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with them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Coaching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—focuses on encouraging growth and development for the receiver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Evaluation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—provides the receiver with information about where they stand, how they are doing in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relation to a standard measure or to others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Three triggers that block feedback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630" w:hanging="63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Truth triggers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—the content of the feedback triggers the receiver because it is perceived to be untrue,               </w:t>
              <w:tab/>
              <w:t xml:space="preserve">off, or unhelpful   (-&gt; feelings:  “indignant, wronged, exasperated”)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630" w:hanging="63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Relationship triggers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—the person providing the feedback triggers the receiver because of the relationship involved and how the receiver feels about the feedback giver or feels treated by the giver  (-&gt; focus shifts away from the content toward the person as audacious, stupid, etc.)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630" w:hanging="63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Identity triggers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—the receiver’s own identity is at stake in some way in relation to the feedback (-&gt; leads to a sense of feeling ashamed, threatened, “overwhelmed, defensive, or off balance”)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Recommendations for receivers of feedback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63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1)     Work to clarify or assure “alignment” between the giver and the receiver of the feedback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63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2)     Discern what is evaluation and separate it from what is actually coaching or appreciation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63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3)     “Know your tendencies”**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63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4)     “Disentangle the ‘what’ from the ‘who’”**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63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5)     Be curious and learn more about the feedback by asking questions (what does this mean? in what circumstances? what are the exact changes that need to happen?  etc.)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63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6)     “Ask for just one thing”**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63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7)     “Engage in small experiments”**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 Heen &amp; Stone (2014).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Thanks for the Feedback: The Art and Science of Receiving Feedback Well.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New York: Penguin.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**Heen &amp; Stone (2014).  “Find the Coaching the Criticism.”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Harvard Business Review.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Jan-Feb. 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Provided by Leslie Ortquist-Ahrens,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Director of the Center for Teaching and Learning and Director of Faculty Development at Berea College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line="240" w:lineRule="auto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tabs>
        <w:tab w:val="center" w:pos="4320"/>
        <w:tab w:val="right" w:pos="8640"/>
      </w:tabs>
      <w:spacing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Cook-Sather, Alison, Melanie Bahti, and Anita Ntem. (2019).</w:t>
    </w:r>
    <w:r w:rsidDel="00000000" w:rsidR="00000000" w:rsidRPr="00000000">
      <w:rPr>
        <w:rFonts w:ascii="Times New Roman" w:cs="Times New Roman" w:eastAsia="Times New Roman" w:hAnsi="Times New Roman"/>
        <w:i w:val="1"/>
        <w:highlight w:val="white"/>
        <w:rtl w:val="0"/>
      </w:rPr>
      <w:t xml:space="preserve"> Student-Faculty Pedagogical Partnerships in the Classroom and Curriculum: A How-To Guide for Faculty, Students, and Academic Developers in Higher Education.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Elon University Center for Engaged Learning Open-Access Book Series.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