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kinds of questions facilitate productive talking and listening?</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4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note that one of the most important dimensions of listening and engaging as pedagogical partners is asking good questions. In keeping with the premises of partnership we emphasize in the book, good questions are ones that are respectful rather than judgmental, genuine rather than assuming or looking for a particular response, and open and invite further exploration rather than close it down.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kinds of questions that all participants in pedagogical partnership—program directors, faculty partners, and student partners—can ask.</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2"/>
        </w:numPr>
        <w:spacing w:line="480" w:lineRule="auto"/>
        <w:ind w:left="720" w:hanging="360"/>
        <w:rPr>
          <w:rFonts w:ascii="Garamond" w:cs="Garamond" w:eastAsia="Garamond" w:hAnsi="Garamond"/>
          <w:b w:val="1"/>
          <w:sz w:val="24"/>
          <w:szCs w:val="24"/>
        </w:rPr>
      </w:pPr>
      <w:r w:rsidDel="00000000" w:rsidR="00000000" w:rsidRPr="00000000">
        <w:rPr>
          <w:rFonts w:ascii="Times New Roman" w:cs="Times New Roman" w:eastAsia="Times New Roman" w:hAnsi="Times New Roman"/>
          <w:b w:val="1"/>
          <w:sz w:val="24"/>
          <w:szCs w:val="24"/>
          <w:rtl w:val="0"/>
        </w:rPr>
        <w:t xml:space="preserve">“I notice that you did/said/commented on X. Can you tell me about your reasoning behind that?” </w:t>
      </w:r>
      <w:r w:rsidDel="00000000" w:rsidR="00000000" w:rsidRPr="00000000">
        <w:rPr>
          <w:rFonts w:ascii="Times New Roman" w:cs="Times New Roman" w:eastAsia="Times New Roman" w:hAnsi="Times New Roman"/>
          <w:sz w:val="24"/>
          <w:szCs w:val="24"/>
          <w:rtl w:val="0"/>
        </w:rPr>
        <w:t xml:space="preserve">Important about such a question is that it is framed as a neutral noticing and a request for explanation, not an assumption or judgmental analysis. Posed in a respectful tone and elaborated on with phrases such as “I’m really interested in understanding the thinking that went into that” or “That really made me think about the situation/assignment/approach in a new way,” such a question conveys engaged attention and receptivity to what the interlocutor has to say.</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line="480" w:lineRule="auto"/>
        <w:ind w:left="720" w:hanging="360"/>
        <w:rPr>
          <w:rFonts w:ascii="Garamond" w:cs="Garamond" w:eastAsia="Garamond" w:hAnsi="Garamond"/>
          <w:b w:val="1"/>
          <w:sz w:val="24"/>
          <w:szCs w:val="24"/>
        </w:rPr>
      </w:pPr>
      <w:r w:rsidDel="00000000" w:rsidR="00000000" w:rsidRPr="00000000">
        <w:rPr>
          <w:rFonts w:ascii="Times New Roman" w:cs="Times New Roman" w:eastAsia="Times New Roman" w:hAnsi="Times New Roman"/>
          <w:b w:val="1"/>
          <w:sz w:val="24"/>
          <w:szCs w:val="24"/>
          <w:rtl w:val="0"/>
        </w:rPr>
        <w:t xml:space="preserve">“If I were a student in this class doing that assignment/activity, I might feel…[fill in this blank]. Is that your goal, or were you hoping for a different experience for students?” </w:t>
      </w:r>
      <w:r w:rsidDel="00000000" w:rsidR="00000000" w:rsidRPr="00000000">
        <w:rPr>
          <w:rFonts w:ascii="Times New Roman" w:cs="Times New Roman" w:eastAsia="Times New Roman" w:hAnsi="Times New Roman"/>
          <w:sz w:val="24"/>
          <w:szCs w:val="24"/>
          <w:rtl w:val="0"/>
        </w:rPr>
        <w:t xml:space="preserve">Important about such a framing and question is that they start with the speaker’s experience rather than the listener’s practice. In contrast to a frame such as, “That assignment/activity is…,” which can sound presumptuous and accusatory, this kind of framing starts with lived experience, and the question is, once again, genuine—not one with an answer the asker of the question already assumes to know.</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2"/>
        </w:numPr>
        <w:spacing w:line="480" w:lineRule="auto"/>
        <w:ind w:left="720" w:hanging="360"/>
        <w:rPr>
          <w:rFonts w:ascii="Garamond" w:cs="Garamond" w:eastAsia="Garamond" w:hAnsi="Garamond"/>
          <w:b w:val="1"/>
          <w:sz w:val="24"/>
          <w:szCs w:val="24"/>
        </w:rPr>
      </w:pPr>
      <w:r w:rsidDel="00000000" w:rsidR="00000000" w:rsidRPr="00000000">
        <w:rPr>
          <w:rFonts w:ascii="Times New Roman" w:cs="Times New Roman" w:eastAsia="Times New Roman" w:hAnsi="Times New Roman"/>
          <w:b w:val="1"/>
          <w:sz w:val="24"/>
          <w:szCs w:val="24"/>
          <w:rtl w:val="0"/>
        </w:rPr>
        <w:t xml:space="preserve">“I am thinking about something you said in a previous conversation about your commitment to X. Does your current point/question/approach/concern connect in your mind to that?” </w:t>
      </w:r>
      <w:r w:rsidDel="00000000" w:rsidR="00000000" w:rsidRPr="00000000">
        <w:rPr>
          <w:rFonts w:ascii="Times New Roman" w:cs="Times New Roman" w:eastAsia="Times New Roman" w:hAnsi="Times New Roman"/>
          <w:sz w:val="24"/>
          <w:szCs w:val="24"/>
          <w:rtl w:val="0"/>
        </w:rPr>
        <w:t xml:space="preserve">Important about this question is that it shows that the asker was listening before, remembers, and connects the current topic or situation to something the interlocutor has indicated that they value.</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3"/>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“That is a great question/statement/strategy that will challenge/enhance [fill in this blank]. How can they [students] relate that to [fill in the blank]?”</w:t>
      </w:r>
      <w:r w:rsidDel="00000000" w:rsidR="00000000" w:rsidRPr="00000000">
        <w:rPr>
          <w:rFonts w:ascii="Times New Roman" w:cs="Times New Roman" w:eastAsia="Times New Roman" w:hAnsi="Times New Roman"/>
          <w:sz w:val="24"/>
          <w:szCs w:val="24"/>
          <w:rtl w:val="0"/>
        </w:rPr>
        <w:t xml:space="preserve"> Important about this question is that it starts out acknowledging and affirming strengths, and then encourages the faculty member to consider how those strengths can connect to the larger theme or the current goal(s). </w:t>
      </w:r>
      <w:r w:rsidDel="00000000" w:rsidR="00000000" w:rsidRPr="00000000">
        <w:rPr>
          <w:rtl w:val="0"/>
        </w:rPr>
      </w:r>
    </w:p>
    <w:p w:rsidR="00000000" w:rsidDel="00000000" w:rsidP="00000000" w:rsidRDefault="00000000" w:rsidRPr="00000000" w14:paraId="0000000D">
      <w:pP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3"/>
        </w:numPr>
        <w:spacing w:line="480" w:lineRule="auto"/>
        <w:ind w:left="720" w:hanging="360"/>
        <w:rPr>
          <w:rFonts w:ascii="Garamond" w:cs="Garamond" w:eastAsia="Garamond" w:hAnsi="Garamond"/>
          <w:b w:val="1"/>
          <w:sz w:val="24"/>
          <w:szCs w:val="24"/>
        </w:rPr>
      </w:pPr>
      <w:r w:rsidDel="00000000" w:rsidR="00000000" w:rsidRPr="00000000">
        <w:rPr>
          <w:rFonts w:ascii="Times New Roman" w:cs="Times New Roman" w:eastAsia="Times New Roman" w:hAnsi="Times New Roman"/>
          <w:b w:val="1"/>
          <w:sz w:val="24"/>
          <w:szCs w:val="24"/>
          <w:rtl w:val="0"/>
        </w:rPr>
        <w:t xml:space="preserve">“In the class, I realized that I got a bit stuck on [fill in blank]. Do you think there are other ways to phrase this statement/comment/question in case others may have also been stuck on it as well?” </w:t>
      </w:r>
      <w:r w:rsidDel="00000000" w:rsidR="00000000" w:rsidRPr="00000000">
        <w:rPr>
          <w:rFonts w:ascii="Times New Roman" w:cs="Times New Roman" w:eastAsia="Times New Roman" w:hAnsi="Times New Roman"/>
          <w:sz w:val="24"/>
          <w:szCs w:val="24"/>
          <w:rtl w:val="0"/>
        </w:rPr>
        <w:t xml:space="preserve">This question is based in a personal experience and reflection as opposed to asserting a universal quality. It offers a strategy (rephrasing, as opposed to repeating) that many students have found useful, and it at once affirms the importance of the question and suggests that it could be clarified.</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highlight w:val="white"/>
          <w:rtl w:val="0"/>
        </w:rPr>
        <w:t xml:space="preserve">“Based on some students reactions/responses, do you think we should revisit/ clarify/expand on this notion/ideology/concept?”</w:t>
      </w:r>
      <w:r w:rsidDel="00000000" w:rsidR="00000000" w:rsidRPr="00000000">
        <w:rPr>
          <w:rFonts w:ascii="Times New Roman" w:cs="Times New Roman" w:eastAsia="Times New Roman" w:hAnsi="Times New Roman"/>
          <w:sz w:val="24"/>
          <w:szCs w:val="24"/>
          <w:highlight w:val="white"/>
          <w:rtl w:val="0"/>
        </w:rPr>
        <w:t xml:space="preserve"> This question builds on a general observation focused on students and their reaction, reinforcing the importance of attending to student experience in their learning, and invites suggestions as to how to best address these common reactions/response together, thereby indicating that the student partner is there as a colleague. </w:t>
      </w: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spacing w:line="480" w:lineRule="auto"/>
        <w:ind w:left="720" w:hanging="360"/>
        <w:rPr>
          <w:rFonts w:ascii="Garamond" w:cs="Garamond" w:eastAsia="Garamond" w:hAnsi="Garamond"/>
          <w:sz w:val="24"/>
          <w:szCs w:val="24"/>
        </w:rPr>
      </w:pPr>
      <w:r w:rsidDel="00000000" w:rsidR="00000000" w:rsidRPr="00000000">
        <w:rPr>
          <w:rFonts w:ascii="Times New Roman" w:cs="Times New Roman" w:eastAsia="Times New Roman" w:hAnsi="Times New Roman"/>
          <w:b w:val="1"/>
          <w:sz w:val="24"/>
          <w:szCs w:val="24"/>
          <w:rtl w:val="0"/>
        </w:rPr>
        <w:t xml:space="preserve">“I wonder if we should re-direct our attention to this area because [statement]?”</w:t>
      </w:r>
      <w:r w:rsidDel="00000000" w:rsidR="00000000" w:rsidRPr="00000000">
        <w:rPr>
          <w:rFonts w:ascii="Times New Roman" w:cs="Times New Roman" w:eastAsia="Times New Roman" w:hAnsi="Times New Roman"/>
          <w:sz w:val="24"/>
          <w:szCs w:val="24"/>
          <w:rtl w:val="0"/>
        </w:rPr>
        <w:t xml:space="preserve"> This question is framed as a kind of musing, not a judgment or criticism; it is making a suggestion and stating the reason. Therefore, it invites other perspectives as to how to best redirect attention and why.</w:t>
      </w: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such as these require the asker to consider where they are coming from—what previous experiences, assumptions, values, commitments, etc. might be informing the question—and to frame the question in a way that starts there rather than jumping to an interpretation or judgment of the other person (see Torosyan and Cook-Sather 2018). We discuss the importance of these qualities in the section called “</w:t>
      </w:r>
      <w:r w:rsidDel="00000000" w:rsidR="00000000" w:rsidRPr="00000000">
        <w:rPr>
          <w:rFonts w:ascii="Times New Roman" w:cs="Times New Roman" w:eastAsia="Times New Roman" w:hAnsi="Times New Roman"/>
          <w:i w:val="1"/>
          <w:sz w:val="24"/>
          <w:szCs w:val="24"/>
          <w:rtl w:val="0"/>
        </w:rPr>
        <w:t xml:space="preserve">Should you facilitate a regular (weekly or bi-weekly) forum for reflection, dialogue, and support?” </w:t>
      </w:r>
      <w:r w:rsidDel="00000000" w:rsidR="00000000" w:rsidRPr="00000000">
        <w:rPr>
          <w:rFonts w:ascii="Times New Roman" w:cs="Times New Roman" w:eastAsia="Times New Roman" w:hAnsi="Times New Roman"/>
          <w:sz w:val="24"/>
          <w:szCs w:val="24"/>
          <w:rtl w:val="0"/>
        </w:rPr>
        <w:t xml:space="preserve">in Chapter 5 as well.</w:t>
      </w:r>
    </w:p>
    <w:p w:rsidR="00000000" w:rsidDel="00000000" w:rsidP="00000000" w:rsidRDefault="00000000" w:rsidRPr="00000000" w14:paraId="00000015">
      <w:pPr>
        <w:spacing w:line="480" w:lineRule="auto"/>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