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1E32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3E848E03" w14:textId="77777777" w:rsidR="00984073" w:rsidRDefault="00984073" w:rsidP="00984073">
      <w:pPr>
        <w:pStyle w:val="Title"/>
      </w:pPr>
      <w:r>
        <w:t>Data Literacy in Economic Development</w:t>
      </w:r>
    </w:p>
    <w:p w14:paraId="7E48D523" w14:textId="418ADAD4" w:rsidR="00984073" w:rsidRDefault="00984073" w:rsidP="00984073">
      <w:pPr>
        <w:pStyle w:val="Subtitle"/>
      </w:pPr>
      <w:r>
        <w:t xml:space="preserve">Building up to </w:t>
      </w:r>
      <w:r w:rsidR="000474E5">
        <w:t>development</w:t>
      </w:r>
      <w:r>
        <w:t xml:space="preserve"> data analysis</w:t>
      </w:r>
    </w:p>
    <w:p w14:paraId="0630B95D" w14:textId="77777777" w:rsidR="00545E93" w:rsidRPr="00545E93" w:rsidRDefault="00545E93" w:rsidP="00545E93"/>
    <w:p w14:paraId="06F9D069" w14:textId="21CF48D7" w:rsidR="000474E5" w:rsidRDefault="000474E5" w:rsidP="006A2577">
      <w:pPr>
        <w:jc w:val="center"/>
      </w:pPr>
      <w:r>
        <w:t>Simon Halliday</w:t>
      </w:r>
      <w:r w:rsidR="00EB3367">
        <w:rPr>
          <w:rStyle w:val="FootnoteReference"/>
        </w:rPr>
        <w:footnoteReference w:id="1"/>
      </w:r>
    </w:p>
    <w:p w14:paraId="7737BC93" w14:textId="17E50A52" w:rsidR="006A2577" w:rsidRDefault="006A2577" w:rsidP="006A2577">
      <w:pPr>
        <w:jc w:val="center"/>
      </w:pPr>
      <w:r>
        <w:t>This version: May 2016</w:t>
      </w:r>
    </w:p>
    <w:p w14:paraId="3A7E3C88" w14:textId="7B48B5DA" w:rsidR="006A2577" w:rsidRPr="000474E5" w:rsidRDefault="006A2577" w:rsidP="006A2577">
      <w:pPr>
        <w:jc w:val="center"/>
      </w:pPr>
      <w:r>
        <w:t>Preliminary and Incomplete. Please do not cite without permission.</w:t>
      </w:r>
    </w:p>
    <w:p w14:paraId="7F8E5401" w14:textId="77777777" w:rsidR="00984073" w:rsidRPr="001B6FD3" w:rsidRDefault="00984073" w:rsidP="00984073"/>
    <w:p w14:paraId="1239B4AF"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284677"/>
          <w:sz w:val="32"/>
          <w:szCs w:val="32"/>
        </w:rPr>
      </w:pPr>
      <w:r>
        <w:rPr>
          <w:rFonts w:ascii="Calibri" w:hAnsi="Calibri" w:cs="Calibri"/>
          <w:b/>
          <w:bCs/>
          <w:color w:val="284677"/>
          <w:sz w:val="32"/>
          <w:szCs w:val="32"/>
        </w:rPr>
        <w:t xml:space="preserve">Abstract: </w:t>
      </w:r>
      <w:bookmarkStart w:id="0" w:name="_GoBack"/>
      <w:bookmarkEnd w:id="0"/>
    </w:p>
    <w:p w14:paraId="4AD55D0A" w14:textId="4F2CD0A9"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When studying economic development students regularly encounter a variety of economic development measures of absolute and relative deprivation: from poverty measures like the headcount ratio and Foster-Greer-Thorbecke measure</w:t>
      </w:r>
      <w:r w:rsidR="0078331F">
        <w:rPr>
          <w:rFonts w:ascii="Cambria" w:hAnsi="Cambria" w:cs="Cambria"/>
          <w:color w:val="000000"/>
        </w:rPr>
        <w:t>s</w:t>
      </w:r>
      <w:r>
        <w:rPr>
          <w:rFonts w:ascii="Cambria" w:hAnsi="Cambria" w:cs="Cambria"/>
          <w:color w:val="000000"/>
        </w:rPr>
        <w:t xml:space="preserve">, to income dispersion measures like the Gini </w:t>
      </w:r>
      <w:r w:rsidR="00016753">
        <w:rPr>
          <w:rFonts w:ascii="Cambria" w:hAnsi="Cambria" w:cs="Cambria"/>
          <w:color w:val="000000"/>
        </w:rPr>
        <w:t>index</w:t>
      </w:r>
      <w:r>
        <w:rPr>
          <w:rFonts w:ascii="Cambria" w:hAnsi="Cambria" w:cs="Cambria"/>
          <w:color w:val="000000"/>
        </w:rPr>
        <w:t>. Though exceptions exist</w:t>
      </w:r>
      <w:r w:rsidR="00143C82">
        <w:rPr>
          <w:rFonts w:ascii="Cambria" w:hAnsi="Cambria" w:cs="Cambria"/>
          <w:color w:val="000000"/>
        </w:rPr>
        <w:t>,</w:t>
      </w:r>
      <w:r>
        <w:rPr>
          <w:rFonts w:ascii="Cambria" w:hAnsi="Cambria" w:cs="Cambria"/>
          <w:color w:val="000000"/>
        </w:rPr>
        <w:t xml:space="preserve"> students seldom practice the application of poverty measures to real world data enabling them to go about "doing economics" (Bartlett and King, 1990). In this paper, based on a lower-level elective in economic development, I propose a series of exercises that start with stylized 10 household economies for basic poverty analysis and proceed to an assignment that culminates in students applying relevant measurements of income, poverty and inequality to a nationally representative cross-sectional survey from South Africa using Excel or Google Spreadsheets. Students employ the skills they develop from the exercises to a team research project analyzing real-world data from a developing country to reach a policy conclusion (McGoldrick, 2008; Imazeki, 2014). The data sources are easily tailored to alternative household surveys in developing countries that include the five main variables that are used (household income, household size, government transfers, remittance receipts and a unique household identifier), for example, a survey from Mexico has already been used (provided by a textbook publisher).  </w:t>
      </w:r>
    </w:p>
    <w:p w14:paraId="765F1CB3"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39DCF796"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Keywords: development, poverty measurement, inequality, National Income Dynamics Survey, South Africa, Sub-Saharan Africa. </w:t>
      </w:r>
    </w:p>
    <w:p w14:paraId="6D13195F"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JEL Codes: A22, I32</w:t>
      </w:r>
    </w:p>
    <w:p w14:paraId="10C1303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5E63C4F6"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284677"/>
          <w:sz w:val="32"/>
          <w:szCs w:val="32"/>
        </w:rPr>
      </w:pPr>
      <w:r>
        <w:rPr>
          <w:rFonts w:ascii="Calibri" w:hAnsi="Calibri" w:cs="Calibri"/>
          <w:b/>
          <w:bCs/>
          <w:color w:val="284677"/>
          <w:sz w:val="32"/>
          <w:szCs w:val="32"/>
        </w:rPr>
        <w:t>Introduction</w:t>
      </w:r>
    </w:p>
    <w:p w14:paraId="3D909829" w14:textId="7AE218AB"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A generation ago, Bartlett and King (1990:182) argued “we expect students to eventually learn to think like economists without providing them with any real opportunity to learn how economists go about “doing” economics.” Though much has changed in undergraduate economics education, it often remains the case that students seldom encounter data to come to a conclusion about policy, or to make a decision using economic insights. Yet, at the heart of economic development and </w:t>
      </w:r>
      <w:r>
        <w:rPr>
          <w:rFonts w:ascii="Cambria" w:hAnsi="Cambria" w:cs="Cambria"/>
          <w:color w:val="000000"/>
        </w:rPr>
        <w:lastRenderedPageBreak/>
        <w:t xml:space="preserve">development policy is the necessity of making choices based on data used to construct measures to understand both the status quo and the effects of policy on the relevant development outcomes. </w:t>
      </w:r>
      <w:r w:rsidR="009534D6">
        <w:rPr>
          <w:rFonts w:ascii="Cambria" w:hAnsi="Cambria" w:cs="Cambria"/>
          <w:color w:val="000000"/>
        </w:rPr>
        <w:t>Why</w:t>
      </w:r>
      <w:r>
        <w:rPr>
          <w:rFonts w:ascii="Cambria" w:hAnsi="Cambria" w:cs="Cambria"/>
          <w:color w:val="000000"/>
        </w:rPr>
        <w:t xml:space="preserve">, then, </w:t>
      </w:r>
      <w:r w:rsidR="006A3ED9">
        <w:rPr>
          <w:rFonts w:ascii="Cambria" w:hAnsi="Cambria" w:cs="Cambria"/>
          <w:color w:val="000000"/>
        </w:rPr>
        <w:t>is</w:t>
      </w:r>
      <w:r>
        <w:rPr>
          <w:rFonts w:ascii="Cambria" w:hAnsi="Cambria" w:cs="Cambria"/>
          <w:color w:val="000000"/>
        </w:rPr>
        <w:t xml:space="preserve"> the instruction of economic development </w:t>
      </w:r>
      <w:r w:rsidR="00676EF8">
        <w:rPr>
          <w:rFonts w:ascii="Cambria" w:hAnsi="Cambria" w:cs="Cambria"/>
          <w:color w:val="000000"/>
        </w:rPr>
        <w:t>so often</w:t>
      </w:r>
      <w:r>
        <w:rPr>
          <w:rFonts w:ascii="Cambria" w:hAnsi="Cambria" w:cs="Cambria"/>
          <w:color w:val="000000"/>
        </w:rPr>
        <w:t xml:space="preserve"> divorced from data? </w:t>
      </w:r>
      <w:r w:rsidR="000617F2">
        <w:rPr>
          <w:rFonts w:ascii="Cambria" w:hAnsi="Cambria" w:cs="Cambria"/>
          <w:color w:val="000000"/>
        </w:rPr>
        <w:t xml:space="preserve">This paper aims to fill this gap providing a step-by-step set of exercises for a variety of economic development classes that teach topics on income, poverty and inequality and which aspire to use </w:t>
      </w:r>
      <w:r w:rsidR="008C7BF3">
        <w:rPr>
          <w:rFonts w:ascii="Cambria" w:hAnsi="Cambria" w:cs="Cambria"/>
          <w:color w:val="000000"/>
        </w:rPr>
        <w:t xml:space="preserve">real-world </w:t>
      </w:r>
      <w:r w:rsidR="000617F2">
        <w:rPr>
          <w:rFonts w:ascii="Cambria" w:hAnsi="Cambria" w:cs="Cambria"/>
          <w:color w:val="000000"/>
        </w:rPr>
        <w:t xml:space="preserve">data. </w:t>
      </w:r>
    </w:p>
    <w:p w14:paraId="6F2A2C3E"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9FB248D" w14:textId="77777777" w:rsidR="00F16E21" w:rsidRDefault="008C7BF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Speaking to the existence of this gap, t</w:t>
      </w:r>
      <w:r w:rsidR="00984073">
        <w:rPr>
          <w:rFonts w:ascii="Cambria" w:hAnsi="Cambria" w:cs="Cambria"/>
          <w:color w:val="000000"/>
        </w:rPr>
        <w:t>hough development economics and the study of poverty are featured in the economics education literature, few examples exist of deliberate and sustained development of the understanding of economic measurement issues in an undergraduate development economics or economics of poverty classroom. Diduch (2012) is the main exception. She demonstrates that a detailed engagement with the question of how to measure poverty motivates students and provides them with the nuts and bolts of policy analysis in the United States. However, no similar demonstrations exist for a course in development economics or in the use of data from middle and low-income countries.</w:t>
      </w:r>
    </w:p>
    <w:p w14:paraId="01DC1768" w14:textId="77777777" w:rsidR="00F16E21" w:rsidRDefault="00F16E21"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3FF02E13" w14:textId="12757338" w:rsidR="00984073" w:rsidRPr="00F16E21" w:rsidRDefault="00F16E21"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To be sure, a variety of courses have attempted to address questions of </w:t>
      </w:r>
      <w:r>
        <w:rPr>
          <w:rFonts w:ascii="Cambria" w:hAnsi="Cambria" w:cs="Cambria"/>
          <w:i/>
          <w:color w:val="000000"/>
        </w:rPr>
        <w:t>content</w:t>
      </w:r>
      <w:r>
        <w:rPr>
          <w:rFonts w:ascii="Cambria" w:hAnsi="Cambria" w:cs="Cambria"/>
          <w:color w:val="000000"/>
        </w:rPr>
        <w:t xml:space="preserve"> in the economic development curriculum.  Singh and Russo (2013) provide insight into how the use of a ‘dream experiment’ motivates students at a small liberal arts college to investigate closely and deeply the prospect of running an experiment (a randomized controlled trial) in a developing country to focus on a particular policy-relevant topic.  In discussing economic growth theories in the undergraduate curriculum, two articles provide a relevant perspective. Chen (2005) showcases the great diversity in theories to explain economic growth. Acemoglu (2013) makes the case that teaching growth and development in the undergraduate curriculum more broadly exposes students to facts about the world economy that are inherently interesting and that provide motivation for instructors to teach growth models, such as the Solow-Swann model, in a more nuanced and historically situated manner. This paper, on the other hand, assumes that an economic development course will teach students ideas of income, poverty and inequality, and innovates in </w:t>
      </w:r>
      <w:r>
        <w:rPr>
          <w:rFonts w:ascii="Cambria" w:hAnsi="Cambria" w:cs="Cambria"/>
          <w:i/>
          <w:color w:val="000000"/>
        </w:rPr>
        <w:t>how</w:t>
      </w:r>
      <w:r>
        <w:rPr>
          <w:rFonts w:ascii="Cambria" w:hAnsi="Cambria" w:cs="Cambria"/>
          <w:color w:val="000000"/>
        </w:rPr>
        <w:t xml:space="preserve"> those topics are taught with the goal of eventually grappling with real-world data. </w:t>
      </w:r>
    </w:p>
    <w:p w14:paraId="7C2469F0"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5A9F5BFB" w14:textId="0689FD4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I </w:t>
      </w:r>
      <w:r w:rsidR="00A4773A">
        <w:rPr>
          <w:rFonts w:ascii="Cambria" w:hAnsi="Cambria" w:cs="Cambria"/>
          <w:color w:val="000000"/>
        </w:rPr>
        <w:t>begin by outlining</w:t>
      </w:r>
      <w:r>
        <w:rPr>
          <w:rFonts w:ascii="Cambria" w:hAnsi="Cambria" w:cs="Cambria"/>
          <w:color w:val="000000"/>
        </w:rPr>
        <w:t xml:space="preserve"> the main measures that are taught in an economic development classroom – income, poverty and inequality – and </w:t>
      </w:r>
      <w:r w:rsidR="00F82313">
        <w:rPr>
          <w:rFonts w:ascii="Cambria" w:hAnsi="Cambria" w:cs="Cambria"/>
          <w:color w:val="000000"/>
        </w:rPr>
        <w:t>explain</w:t>
      </w:r>
      <w:r>
        <w:rPr>
          <w:rFonts w:ascii="Cambria" w:hAnsi="Cambria" w:cs="Cambria"/>
          <w:color w:val="000000"/>
        </w:rPr>
        <w:t xml:space="preserve"> some of their intuitions and history. Second, I explain the initial exercise that I use to introduce students to the primitives of data analysis for development: individuals with incomes who form an economy, the aggregate properties of which need to be measured. The exercise employs stylized 10 person (or 10 household) economies for students to start learning data literacy and development theory. Third, the encounter with data literacy proceeds to an advanced stage by providing students with data in Excel that are publicly available from the 2008 wave of the South African National Income Dynamics Study (</w:t>
      </w:r>
      <w:hyperlink r:id="rId7" w:history="1">
        <w:r>
          <w:rPr>
            <w:rFonts w:ascii="Cambria" w:hAnsi="Cambria" w:cs="Cambria"/>
            <w:color w:val="0000FF"/>
            <w:u w:val="single" w:color="0000FF"/>
          </w:rPr>
          <w:t>http://www.nids.uct.ac.za</w:t>
        </w:r>
      </w:hyperlink>
      <w:r>
        <w:rPr>
          <w:rFonts w:ascii="Cambria" w:hAnsi="Cambria" w:cs="Cambria"/>
          <w:color w:val="000000"/>
        </w:rPr>
        <w:t xml:space="preserve">) as well as the World Bank Development Indicators (WDI). Students use the data to calculate a variety of measures and to compare aggregate national measures with measures from </w:t>
      </w:r>
      <w:r>
        <w:rPr>
          <w:rFonts w:ascii="Cambria" w:hAnsi="Cambria" w:cs="Cambria"/>
          <w:color w:val="000000"/>
        </w:rPr>
        <w:lastRenderedPageBreak/>
        <w:t xml:space="preserve">household survey data. Students use these data in problem sets and a take-home midterm exam. Lastly, the semester concludes with students working on team projects on a developing country that they choose and for which they use the Excel skills they have learned to measure poverty and inequality or other relevant household </w:t>
      </w:r>
      <w:r w:rsidR="0082607E">
        <w:rPr>
          <w:rFonts w:ascii="Cambria" w:hAnsi="Cambria" w:cs="Cambria"/>
          <w:color w:val="000000"/>
        </w:rPr>
        <w:t xml:space="preserve">(or other group) </w:t>
      </w:r>
      <w:r>
        <w:rPr>
          <w:rFonts w:ascii="Cambria" w:hAnsi="Cambria" w:cs="Cambria"/>
          <w:color w:val="000000"/>
        </w:rPr>
        <w:t xml:space="preserve">characteristics that are pertinent to their research questions. </w:t>
      </w:r>
    </w:p>
    <w:p w14:paraId="2E987FBB"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5AA485C" w14:textId="1998C8AF" w:rsidR="00984073" w:rsidRPr="008665D0"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284677"/>
          <w:sz w:val="32"/>
          <w:szCs w:val="32"/>
        </w:rPr>
      </w:pPr>
      <w:r>
        <w:rPr>
          <w:rFonts w:ascii="Calibri" w:hAnsi="Calibri" w:cs="Calibri"/>
          <w:b/>
          <w:bCs/>
          <w:color w:val="284677"/>
          <w:sz w:val="32"/>
          <w:szCs w:val="32"/>
        </w:rPr>
        <w:t>Measuring Income, Poverty and Inequality: The Theory</w:t>
      </w:r>
    </w:p>
    <w:p w14:paraId="56CE3DAC" w14:textId="1F3B3ABD"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Most economic development courses and textbooks introduce the measurement of income, poverty and inequality by starting with national measures of gross domestic product (GDP) and gross national product or income (GNP/GNI), that is, in either case computing the value of goods and services of final products sold at market prices (either domestically or by national citizens). </w:t>
      </w:r>
    </w:p>
    <w:p w14:paraId="4120C0C8" w14:textId="77777777" w:rsidR="00984073" w:rsidRDefault="00984073" w:rsidP="00984073">
      <w:pPr>
        <w:pStyle w:val="Heading2"/>
      </w:pPr>
      <w:r>
        <w:t>Income</w:t>
      </w:r>
    </w:p>
    <w:p w14:paraId="20909592"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Typically, input-output tables are used to teach simplified calculations of gross domestic product, relying on either the expenditures that different sectors have on the different factors of production, or the values of final goods produced minus imports. These can then be used to calculate total GDP and then divided by the total population of an example economy to provide per capita GDP. Though it is possible to use artificial input-output tables to teach the basics of GDP calculation, it is not feasible to get students to calculate GDP with data from an economy – students lack the skills and the data are not available. </w:t>
      </w:r>
    </w:p>
    <w:p w14:paraId="65C6BE81"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4874B1C"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Apart from the inability to teach students how to go about teaching students how to calculate GDP with actual data, national income measures also have a variety of shortcomings in terms of understanding poverty and inequality. First, that the per capita GDP of a country is a certain number, say $10,000 in 2014, does not imply that each person in an economy has that amount of money to spend, or that the </w:t>
      </w:r>
      <w:r>
        <w:rPr>
          <w:rFonts w:ascii="Cambria" w:hAnsi="Cambria" w:cs="Cambria"/>
          <w:i/>
          <w:iCs/>
          <w:color w:val="000000"/>
        </w:rPr>
        <w:t>average</w:t>
      </w:r>
      <w:r>
        <w:rPr>
          <w:rFonts w:ascii="Cambria" w:hAnsi="Cambria" w:cs="Cambria"/>
          <w:color w:val="000000"/>
        </w:rPr>
        <w:t xml:space="preserve"> (median) consumer in an economy has disposable income even approximately equivalent to that amount. To be sure, household expenditures on final goods plus goods exported ought to provide an accounting relationship that is approximately equal to GDP in a given year, but this will certainly be affected by inventories, purchases of used goods, and other factors that make household expenditures and aggregate measures differ from each other. </w:t>
      </w:r>
    </w:p>
    <w:p w14:paraId="25592865"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86F7F82" w14:textId="59A7DB6E"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Second, and importantly for economic development, per-capita GDP measures say nothing about the </w:t>
      </w:r>
      <w:r>
        <w:rPr>
          <w:rFonts w:ascii="Cambria" w:hAnsi="Cambria" w:cs="Cambria"/>
          <w:i/>
          <w:iCs/>
          <w:color w:val="000000"/>
        </w:rPr>
        <w:t>distribution</w:t>
      </w:r>
      <w:r>
        <w:rPr>
          <w:rFonts w:ascii="Cambria" w:hAnsi="Cambria" w:cs="Cambria"/>
          <w:color w:val="000000"/>
        </w:rPr>
        <w:t xml:space="preserve"> of income or the </w:t>
      </w:r>
      <w:r>
        <w:rPr>
          <w:rFonts w:ascii="Cambria" w:hAnsi="Cambria" w:cs="Cambria"/>
          <w:i/>
          <w:iCs/>
          <w:color w:val="000000"/>
        </w:rPr>
        <w:t>skewness</w:t>
      </w:r>
      <w:r>
        <w:rPr>
          <w:rFonts w:ascii="Cambria" w:hAnsi="Cambria" w:cs="Cambria"/>
          <w:color w:val="000000"/>
        </w:rPr>
        <w:t xml:space="preserve"> of that distribution. For example, two economies may have similar per capita GDP, but different povert</w:t>
      </w:r>
      <w:r w:rsidR="00016753">
        <w:rPr>
          <w:rFonts w:ascii="Cambria" w:hAnsi="Cambria" w:cs="Cambria"/>
          <w:color w:val="000000"/>
        </w:rPr>
        <w:t>y headcounts or Gini index</w:t>
      </w:r>
      <w:r>
        <w:rPr>
          <w:rFonts w:ascii="Cambria" w:hAnsi="Cambria" w:cs="Cambria"/>
          <w:color w:val="000000"/>
        </w:rPr>
        <w:t xml:space="preserve">. </w:t>
      </w:r>
    </w:p>
    <w:p w14:paraId="187B8FBF"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57464CFB" w14:textId="21F3290E"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Third, GDP measures are compiled from data with which most students are unfamiliar and </w:t>
      </w:r>
      <w:r w:rsidR="001C6461">
        <w:rPr>
          <w:rFonts w:ascii="Cambria" w:hAnsi="Cambria" w:cs="Cambria"/>
          <w:color w:val="000000"/>
        </w:rPr>
        <w:t>from</w:t>
      </w:r>
      <w:r>
        <w:rPr>
          <w:rFonts w:ascii="Cambria" w:hAnsi="Cambria" w:cs="Cambria"/>
          <w:color w:val="000000"/>
        </w:rPr>
        <w:t xml:space="preserve"> which they are likely to remain disengaged. Though some students may have worked in retail, restaurant services, or construction, few students have worked in manufacturing, non-restaurant services, or agriculture </w:t>
      </w:r>
      <w:r>
        <w:rPr>
          <w:rFonts w:ascii="Cambria" w:hAnsi="Cambria" w:cs="Cambria"/>
          <w:color w:val="000000"/>
        </w:rPr>
        <w:lastRenderedPageBreak/>
        <w:t>where final goods and services may be produced and aggregated up for final measurement by national statistical agencies. Many students, in their work and family life, though</w:t>
      </w:r>
      <w:r w:rsidR="00810760">
        <w:rPr>
          <w:rFonts w:ascii="Cambria" w:hAnsi="Cambria" w:cs="Cambria"/>
          <w:color w:val="000000"/>
        </w:rPr>
        <w:t>,</w:t>
      </w:r>
      <w:r>
        <w:rPr>
          <w:rFonts w:ascii="Cambria" w:hAnsi="Cambria" w:cs="Cambria"/>
          <w:color w:val="000000"/>
        </w:rPr>
        <w:t xml:space="preserve"> will be familiar with the idea that the family as a unit has a certain amount of income that can be spent on the goods and services that the family wants and with which the family may compare itself to other families, or through which the family may be compared by policy-makers with other families. </w:t>
      </w:r>
    </w:p>
    <w:p w14:paraId="3F0414AC"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A99DC02"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It therefore becomes useful to think about economies comprising households or individuals with certain levels of daily (or monthly) income that corresponds more closely to the measures of poverty and inequality that are used in economic development, while also being the unit of analysis that students themselves are more familiar with (the individual and household levels). </w:t>
      </w:r>
    </w:p>
    <w:p w14:paraId="1B9A042F"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28DD9D9D" w14:textId="1799FA75"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What are the measures of income, poverty and inequality that are used and what are their roles in understanding economic development? </w:t>
      </w:r>
    </w:p>
    <w:p w14:paraId="58F4574A" w14:textId="77777777" w:rsidR="00984073" w:rsidRDefault="00984073" w:rsidP="00984073">
      <w:pPr>
        <w:pStyle w:val="Heading2"/>
      </w:pPr>
      <w:r>
        <w:t>Poverty</w:t>
      </w:r>
    </w:p>
    <w:p w14:paraId="30C5A81F" w14:textId="39F13408"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Foster, Greer and Thorbecke (1984) were engaged in the ongoing debate about how to measure poverty in a way that was decomposable. That is, if we can separate all people who are poor into different groups (by gender, ethnicity, etc), then a decrease (increase) in the poverty of one of the groups should result in a decrease (increase) in overall poverty (see Sen, </w:t>
      </w:r>
      <w:r w:rsidR="00BF494F">
        <w:rPr>
          <w:rFonts w:ascii="Cambria" w:hAnsi="Cambria" w:cs="Cambria"/>
          <w:color w:val="000000"/>
        </w:rPr>
        <w:t>1999</w:t>
      </w:r>
      <w:r>
        <w:rPr>
          <w:rFonts w:ascii="Cambria" w:hAnsi="Cambria" w:cs="Cambria"/>
          <w:color w:val="000000"/>
        </w:rPr>
        <w:t xml:space="preserve">). </w:t>
      </w:r>
    </w:p>
    <w:p w14:paraId="29CF78DE"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75C9AB1"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The Foster-Greer-Thorbecke formula provides a generalizable way to teach each of the poverty measures. Poverty is indexed in the following way: </w:t>
      </w:r>
    </w:p>
    <w:p w14:paraId="56A73B10"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891A895" w14:textId="77777777" w:rsidR="00984073" w:rsidRPr="00DD1819"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m:oMathPara>
        <m:oMathParaPr>
          <m:jc m:val="center"/>
        </m:oMathParaPr>
        <m:oMath>
          <m:r>
            <w:rPr>
              <w:rFonts w:ascii="Cambria Math" w:hAnsi="Cambria Math" w:cs="Cambria"/>
              <w:color w:val="000000"/>
            </w:rPr>
            <m:t>FGT</m:t>
          </m:r>
          <m:d>
            <m:dPr>
              <m:ctrlPr>
                <w:rPr>
                  <w:rFonts w:ascii="Cambria Math" w:hAnsi="Cambria Math" w:cs="Cambria"/>
                  <w:i/>
                  <w:color w:val="000000"/>
                </w:rPr>
              </m:ctrlPr>
            </m:dPr>
            <m:e>
              <m:r>
                <w:rPr>
                  <w:rFonts w:ascii="Cambria Math" w:hAnsi="Cambria Math" w:cs="Cambria"/>
                  <w:color w:val="000000"/>
                </w:rPr>
                <m:t>α</m:t>
              </m:r>
            </m:e>
          </m:d>
          <m:r>
            <w:rPr>
              <w:rFonts w:ascii="Cambria Math" w:hAnsi="Cambria Math" w:cs="Cambria"/>
              <w:color w:val="000000"/>
            </w:rPr>
            <m:t xml:space="preserve">= </m:t>
          </m:r>
          <m:f>
            <m:fPr>
              <m:ctrlPr>
                <w:rPr>
                  <w:rFonts w:ascii="Cambria Math" w:hAnsi="Cambria Math" w:cs="Cambria"/>
                  <w:i/>
                  <w:color w:val="000000"/>
                </w:rPr>
              </m:ctrlPr>
            </m:fPr>
            <m:num>
              <m:r>
                <w:rPr>
                  <w:rFonts w:ascii="Cambria Math" w:hAnsi="Cambria Math" w:cs="Cambria"/>
                  <w:color w:val="000000"/>
                </w:rPr>
                <m:t>1</m:t>
              </m:r>
            </m:num>
            <m:den>
              <m:r>
                <w:rPr>
                  <w:rFonts w:ascii="Cambria Math" w:hAnsi="Cambria Math" w:cs="Cambria"/>
                  <w:color w:val="000000"/>
                </w:rPr>
                <m:t>N</m:t>
              </m:r>
              <m:sSup>
                <m:sSupPr>
                  <m:ctrlPr>
                    <w:rPr>
                      <w:rFonts w:ascii="Cambria Math" w:hAnsi="Cambria Math" w:cs="Cambria"/>
                      <w:i/>
                      <w:color w:val="000000"/>
                    </w:rPr>
                  </m:ctrlPr>
                </m:sSupPr>
                <m:e>
                  <m:r>
                    <w:rPr>
                      <w:rFonts w:ascii="Cambria Math" w:hAnsi="Cambria Math" w:cs="Cambria"/>
                      <w:color w:val="000000"/>
                    </w:rPr>
                    <m:t>z</m:t>
                  </m:r>
                </m:e>
                <m:sup>
                  <m:r>
                    <w:rPr>
                      <w:rFonts w:ascii="Cambria Math" w:hAnsi="Cambria Math" w:cs="Cambria"/>
                      <w:color w:val="000000"/>
                    </w:rPr>
                    <m:t>α</m:t>
                  </m:r>
                </m:sup>
              </m:sSup>
            </m:den>
          </m:f>
          <m:nary>
            <m:naryPr>
              <m:chr m:val="∑"/>
              <m:limLoc m:val="undOvr"/>
              <m:ctrlPr>
                <w:rPr>
                  <w:rFonts w:ascii="Cambria Math" w:hAnsi="Cambria Math" w:cs="Cambria"/>
                  <w:i/>
                  <w:color w:val="000000"/>
                </w:rPr>
              </m:ctrlPr>
            </m:naryPr>
            <m:sub>
              <m:r>
                <w:rPr>
                  <w:rFonts w:ascii="Cambria Math" w:hAnsi="Cambria Math" w:cs="Cambria"/>
                  <w:color w:val="000000"/>
                </w:rPr>
                <m:t>i=1</m:t>
              </m:r>
            </m:sub>
            <m:sup>
              <m:r>
                <w:rPr>
                  <w:rFonts w:ascii="Cambria Math" w:hAnsi="Cambria Math" w:cs="Cambria"/>
                  <w:color w:val="000000"/>
                </w:rPr>
                <m:t>q</m:t>
              </m:r>
            </m:sup>
            <m:e>
              <m:sSup>
                <m:sSupPr>
                  <m:ctrlPr>
                    <w:rPr>
                      <w:rFonts w:ascii="Cambria Math" w:hAnsi="Cambria Math" w:cs="Cambria"/>
                      <w:i/>
                      <w:color w:val="000000"/>
                    </w:rPr>
                  </m:ctrlPr>
                </m:sSupPr>
                <m:e>
                  <m:r>
                    <w:rPr>
                      <w:rFonts w:ascii="Cambria Math" w:hAnsi="Cambria Math" w:cs="Cambria"/>
                      <w:color w:val="000000"/>
                    </w:rPr>
                    <m:t>z-</m:t>
                  </m:r>
                  <m:sSub>
                    <m:sSubPr>
                      <m:ctrlPr>
                        <w:rPr>
                          <w:rFonts w:ascii="Cambria Math" w:hAnsi="Cambria Math" w:cs="Cambria"/>
                          <w:i/>
                          <w:color w:val="000000"/>
                        </w:rPr>
                      </m:ctrlPr>
                    </m:sSubPr>
                    <m:e>
                      <m:r>
                        <w:rPr>
                          <w:rFonts w:ascii="Cambria Math" w:hAnsi="Cambria Math" w:cs="Cambria"/>
                          <w:color w:val="000000"/>
                        </w:rPr>
                        <m:t>y</m:t>
                      </m:r>
                    </m:e>
                    <m:sub>
                      <m:r>
                        <w:rPr>
                          <w:rFonts w:ascii="Cambria Math" w:hAnsi="Cambria Math" w:cs="Cambria"/>
                          <w:color w:val="000000"/>
                        </w:rPr>
                        <m:t>i</m:t>
                      </m:r>
                    </m:sub>
                  </m:sSub>
                  <m:r>
                    <w:rPr>
                      <w:rFonts w:ascii="Cambria Math" w:hAnsi="Cambria Math" w:cs="Cambria"/>
                      <w:color w:val="000000"/>
                    </w:rPr>
                    <m:t>)</m:t>
                  </m:r>
                </m:e>
                <m:sup>
                  <m:r>
                    <w:rPr>
                      <w:rFonts w:ascii="Cambria Math" w:hAnsi="Cambria Math" w:cs="Cambria"/>
                      <w:color w:val="000000"/>
                    </w:rPr>
                    <m:t>α</m:t>
                  </m:r>
                </m:sup>
              </m:sSup>
            </m:e>
          </m:nary>
        </m:oMath>
      </m:oMathPara>
    </w:p>
    <w:p w14:paraId="36FD38D1"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Where </w:t>
      </w:r>
      <w:r>
        <w:rPr>
          <w:rFonts w:ascii="Cambria" w:hAnsi="Cambria" w:cs="Cambria"/>
          <w:i/>
          <w:iCs/>
          <w:color w:val="000000"/>
        </w:rPr>
        <w:t>N</w:t>
      </w:r>
      <w:r>
        <w:rPr>
          <w:rFonts w:ascii="Cambria" w:hAnsi="Cambria" w:cs="Cambria"/>
          <w:color w:val="000000"/>
        </w:rPr>
        <w:t xml:space="preserve"> is the total population, </w:t>
      </w:r>
      <w:r>
        <w:rPr>
          <w:rFonts w:ascii="Cambria" w:hAnsi="Cambria" w:cs="Cambria"/>
          <w:i/>
          <w:iCs/>
          <w:color w:val="000000"/>
        </w:rPr>
        <w:t>z</w:t>
      </w:r>
      <w:r>
        <w:rPr>
          <w:rFonts w:ascii="Cambria" w:hAnsi="Cambria" w:cs="Cambria"/>
          <w:color w:val="000000"/>
        </w:rPr>
        <w:t xml:space="preserve"> is the poverty line, </w:t>
      </w:r>
      <w:r>
        <w:rPr>
          <w:rFonts w:ascii="Cambria" w:hAnsi="Cambria" w:cs="Cambria"/>
          <w:i/>
          <w:iCs/>
          <w:color w:val="000000"/>
        </w:rPr>
        <w:t>y</w:t>
      </w:r>
      <w:r>
        <w:rPr>
          <w:rFonts w:ascii="Cambria" w:hAnsi="Cambria" w:cs="Cambria"/>
          <w:i/>
          <w:iCs/>
          <w:color w:val="000000"/>
          <w:sz w:val="16"/>
          <w:szCs w:val="16"/>
          <w:vertAlign w:val="subscript"/>
        </w:rPr>
        <w:t>i</w:t>
      </w:r>
      <w:r>
        <w:rPr>
          <w:rFonts w:ascii="Cambria" w:hAnsi="Cambria" w:cs="Cambria"/>
          <w:color w:val="000000"/>
        </w:rPr>
        <w:t xml:space="preserve"> is the income of individual </w:t>
      </w:r>
      <w:r>
        <w:rPr>
          <w:rFonts w:ascii="Cambria" w:hAnsi="Cambria" w:cs="Cambria"/>
          <w:i/>
          <w:iCs/>
          <w:color w:val="000000"/>
        </w:rPr>
        <w:t>i</w:t>
      </w:r>
      <w:r>
        <w:rPr>
          <w:rFonts w:ascii="Cambria" w:hAnsi="Cambria" w:cs="Cambria"/>
          <w:color w:val="000000"/>
        </w:rPr>
        <w:t xml:space="preserve">, and </w:t>
      </w:r>
      <w:r>
        <w:rPr>
          <w:rFonts w:ascii="Cambria" w:hAnsi="Cambria" w:cs="Cambria"/>
          <w:i/>
          <w:iCs/>
          <w:color w:val="000000"/>
        </w:rPr>
        <w:t>q</w:t>
      </w:r>
      <w:r>
        <w:rPr>
          <w:rFonts w:ascii="Cambria" w:hAnsi="Cambria" w:cs="Cambria"/>
          <w:color w:val="000000"/>
        </w:rPr>
        <w:t xml:space="preserve"> is the total number of individuals with incomes below the poverty line. </w:t>
      </w:r>
    </w:p>
    <w:p w14:paraId="2B7977DA"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DF7BC6F" w14:textId="779D676D"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FGT(α) provides three different me</w:t>
      </w:r>
      <w:r w:rsidR="00BF494F">
        <w:rPr>
          <w:rFonts w:ascii="Cambria" w:hAnsi="Cambria" w:cs="Cambria"/>
          <w:color w:val="000000"/>
        </w:rPr>
        <w:t>asures of poverty depending on t</w:t>
      </w:r>
      <w:r>
        <w:rPr>
          <w:rFonts w:ascii="Cambria" w:hAnsi="Cambria" w:cs="Cambria"/>
          <w:color w:val="000000"/>
        </w:rPr>
        <w:t xml:space="preserve">he value of α. </w:t>
      </w:r>
    </w:p>
    <w:p w14:paraId="5404F126" w14:textId="77777777" w:rsidR="00984073" w:rsidRDefault="00984073" w:rsidP="00984073">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ambria" w:hAnsi="Cambria" w:cs="Cambria"/>
          <w:color w:val="000000"/>
        </w:rPr>
      </w:pPr>
      <w:r>
        <w:rPr>
          <w:rFonts w:ascii="Cambria" w:hAnsi="Cambria" w:cs="Cambria"/>
          <w:color w:val="000000"/>
        </w:rPr>
        <w:t xml:space="preserve">α = 0 results in the poverty head count ratio where </w:t>
      </w:r>
      <m:oMath>
        <m:r>
          <w:rPr>
            <w:rFonts w:ascii="Cambria Math" w:hAnsi="Cambria Math" w:cs="Cambria"/>
            <w:color w:val="000000"/>
          </w:rPr>
          <m:t>FGT</m:t>
        </m:r>
        <m:d>
          <m:dPr>
            <m:ctrlPr>
              <w:rPr>
                <w:rFonts w:ascii="Cambria Math" w:hAnsi="Cambria Math" w:cs="Cambria"/>
                <w:i/>
                <w:color w:val="000000"/>
              </w:rPr>
            </m:ctrlPr>
          </m:dPr>
          <m:e>
            <m:r>
              <w:rPr>
                <w:rFonts w:ascii="Cambria Math" w:hAnsi="Cambria Math" w:cs="Cambria"/>
                <w:color w:val="000000"/>
              </w:rPr>
              <m:t>0</m:t>
            </m:r>
          </m:e>
        </m:d>
        <m:r>
          <w:rPr>
            <w:rFonts w:ascii="Cambria Math" w:hAnsi="Cambria Math" w:cs="Cambria"/>
            <w:color w:val="000000"/>
          </w:rPr>
          <m:t>=</m:t>
        </m:r>
        <m:f>
          <m:fPr>
            <m:ctrlPr>
              <w:rPr>
                <w:rFonts w:ascii="Cambria Math" w:hAnsi="Cambria Math" w:cs="Cambria"/>
                <w:i/>
                <w:color w:val="000000"/>
              </w:rPr>
            </m:ctrlPr>
          </m:fPr>
          <m:num>
            <m:r>
              <w:rPr>
                <w:rFonts w:ascii="Cambria Math" w:hAnsi="Cambria Math" w:cs="Cambria"/>
                <w:color w:val="000000"/>
              </w:rPr>
              <m:t>q</m:t>
            </m:r>
          </m:num>
          <m:den>
            <m:r>
              <w:rPr>
                <w:rFonts w:ascii="Cambria Math" w:hAnsi="Cambria Math" w:cs="Cambria"/>
                <w:color w:val="000000"/>
              </w:rPr>
              <m:t>N</m:t>
            </m:r>
          </m:den>
        </m:f>
      </m:oMath>
      <w:r>
        <w:rPr>
          <w:rFonts w:ascii="Cambria" w:hAnsi="Cambria" w:cs="Cambria"/>
          <w:color w:val="000000"/>
        </w:rPr>
        <w:t xml:space="preserve"> where </w:t>
      </w:r>
      <w:r w:rsidRPr="00F31E19">
        <w:rPr>
          <w:rFonts w:ascii="Cambria" w:hAnsi="Cambria" w:cs="Cambria"/>
          <w:i/>
          <w:color w:val="000000"/>
        </w:rPr>
        <w:t>q</w:t>
      </w:r>
      <w:r>
        <w:rPr>
          <w:rFonts w:ascii="Cambria" w:hAnsi="Cambria" w:cs="Cambria"/>
          <w:color w:val="000000"/>
        </w:rPr>
        <w:t xml:space="preserve"> is the number of poor individuals </w:t>
      </w:r>
      <w:r w:rsidRPr="00723A58">
        <w:rPr>
          <w:rFonts w:ascii="Cambria" w:hAnsi="Cambria" w:cs="Cambria"/>
          <w:i/>
          <w:color w:val="000000"/>
        </w:rPr>
        <w:t>q</w:t>
      </w:r>
      <w:r>
        <w:rPr>
          <w:rFonts w:ascii="Cambria" w:hAnsi="Cambria" w:cs="Cambria"/>
          <w:color w:val="000000"/>
        </w:rPr>
        <w:t>, that is, those individuals with income y</w:t>
      </w:r>
      <w:r>
        <w:rPr>
          <w:rFonts w:ascii="Cambria" w:hAnsi="Cambria" w:cs="Cambria"/>
          <w:color w:val="000000"/>
          <w:vertAlign w:val="subscript"/>
        </w:rPr>
        <w:t>i</w:t>
      </w:r>
      <w:r>
        <w:rPr>
          <w:rFonts w:ascii="Cambria" w:hAnsi="Cambria" w:cs="Cambria"/>
          <w:color w:val="000000"/>
        </w:rPr>
        <w:t xml:space="preserve"> below the poverty line, </w:t>
      </w:r>
      <w:r>
        <w:rPr>
          <w:rFonts w:ascii="Cambria" w:hAnsi="Cambria" w:cs="Cambria"/>
          <w:i/>
          <w:color w:val="000000"/>
        </w:rPr>
        <w:t>z</w:t>
      </w:r>
      <w:r w:rsidRPr="009B0E5D">
        <w:rPr>
          <w:rFonts w:ascii="Cambria" w:hAnsi="Cambria" w:cs="Cambria"/>
          <w:color w:val="000000"/>
        </w:rPr>
        <w:t>,</w:t>
      </w:r>
      <w:r>
        <w:rPr>
          <w:rFonts w:ascii="Cambria" w:hAnsi="Cambria" w:cs="Cambria"/>
          <w:color w:val="000000"/>
        </w:rPr>
        <w:t xml:space="preserve"> divided by the total population </w:t>
      </w:r>
      <w:r w:rsidRPr="00723A58">
        <w:rPr>
          <w:rFonts w:ascii="Cambria" w:hAnsi="Cambria" w:cs="Cambria"/>
          <w:i/>
          <w:color w:val="000000"/>
        </w:rPr>
        <w:t>N</w:t>
      </w:r>
      <w:r>
        <w:rPr>
          <w:rFonts w:ascii="Cambria" w:hAnsi="Cambria" w:cs="Cambria"/>
          <w:color w:val="000000"/>
        </w:rPr>
        <w:t xml:space="preserve">. </w:t>
      </w:r>
    </w:p>
    <w:p w14:paraId="5CA41E56" w14:textId="77777777" w:rsidR="00984073" w:rsidRDefault="00984073" w:rsidP="00984073">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ambria" w:hAnsi="Cambria" w:cs="Cambria"/>
          <w:color w:val="000000"/>
        </w:rPr>
      </w:pPr>
      <w:r>
        <w:rPr>
          <w:rFonts w:ascii="Cambria" w:hAnsi="Cambria" w:cs="Cambria"/>
          <w:color w:val="000000"/>
        </w:rPr>
        <w:t xml:space="preserve">α = 1 results in the poverty gap index, measuring the normalized distance of each poor individual’s income from the poverty line, i.e. </w:t>
      </w:r>
      <m:oMath>
        <m:r>
          <w:rPr>
            <w:rFonts w:ascii="Cambria Math" w:hAnsi="Cambria Math" w:cs="Cambria"/>
            <w:color w:val="000000"/>
          </w:rPr>
          <m:t>FGT</m:t>
        </m:r>
        <m:d>
          <m:dPr>
            <m:ctrlPr>
              <w:rPr>
                <w:rFonts w:ascii="Cambria Math" w:hAnsi="Cambria Math" w:cs="Cambria"/>
                <w:i/>
                <w:color w:val="000000"/>
              </w:rPr>
            </m:ctrlPr>
          </m:dPr>
          <m:e>
            <m:r>
              <w:rPr>
                <w:rFonts w:ascii="Cambria Math" w:hAnsi="Cambria Math" w:cs="Cambria"/>
                <w:color w:val="000000"/>
              </w:rPr>
              <m:t>1</m:t>
            </m:r>
          </m:e>
        </m:d>
        <m:r>
          <w:rPr>
            <w:rFonts w:ascii="Cambria Math" w:hAnsi="Cambria Math" w:cs="Cambria"/>
            <w:color w:val="000000"/>
          </w:rPr>
          <m:t xml:space="preserve">= </m:t>
        </m:r>
        <m:f>
          <m:fPr>
            <m:ctrlPr>
              <w:rPr>
                <w:rFonts w:ascii="Cambria Math" w:hAnsi="Cambria Math" w:cs="Cambria"/>
                <w:i/>
                <w:color w:val="000000"/>
              </w:rPr>
            </m:ctrlPr>
          </m:fPr>
          <m:num>
            <m:r>
              <w:rPr>
                <w:rFonts w:ascii="Cambria Math" w:hAnsi="Cambria Math" w:cs="Cambria"/>
                <w:color w:val="000000"/>
              </w:rPr>
              <m:t>1</m:t>
            </m:r>
          </m:num>
          <m:den>
            <m:r>
              <w:rPr>
                <w:rFonts w:ascii="Cambria Math" w:hAnsi="Cambria Math" w:cs="Cambria"/>
                <w:color w:val="000000"/>
              </w:rPr>
              <m:t>Nz</m:t>
            </m:r>
          </m:den>
        </m:f>
        <m:nary>
          <m:naryPr>
            <m:chr m:val="∑"/>
            <m:limLoc m:val="undOvr"/>
            <m:ctrlPr>
              <w:rPr>
                <w:rFonts w:ascii="Cambria Math" w:hAnsi="Cambria Math" w:cs="Cambria"/>
                <w:i/>
                <w:color w:val="000000"/>
              </w:rPr>
            </m:ctrlPr>
          </m:naryPr>
          <m:sub>
            <m:r>
              <w:rPr>
                <w:rFonts w:ascii="Cambria Math" w:hAnsi="Cambria Math" w:cs="Cambria"/>
                <w:color w:val="000000"/>
              </w:rPr>
              <m:t>1=1</m:t>
            </m:r>
          </m:sub>
          <m:sup>
            <m:r>
              <w:rPr>
                <w:rFonts w:ascii="Cambria Math" w:hAnsi="Cambria Math" w:cs="Cambria"/>
                <w:color w:val="000000"/>
              </w:rPr>
              <m:t>q</m:t>
            </m:r>
          </m:sup>
          <m:e>
            <m:r>
              <w:rPr>
                <w:rFonts w:ascii="Cambria Math" w:hAnsi="Cambria Math" w:cs="Cambria"/>
                <w:color w:val="000000"/>
              </w:rPr>
              <m:t>(z-</m:t>
            </m:r>
            <m:sSub>
              <m:sSubPr>
                <m:ctrlPr>
                  <w:rPr>
                    <w:rFonts w:ascii="Cambria Math" w:hAnsi="Cambria Math" w:cs="Cambria"/>
                    <w:i/>
                    <w:color w:val="000000"/>
                  </w:rPr>
                </m:ctrlPr>
              </m:sSubPr>
              <m:e>
                <m:r>
                  <w:rPr>
                    <w:rFonts w:ascii="Cambria Math" w:hAnsi="Cambria Math" w:cs="Cambria"/>
                    <w:color w:val="000000"/>
                  </w:rPr>
                  <m:t>y</m:t>
                </m:r>
              </m:e>
              <m:sub>
                <m:r>
                  <w:rPr>
                    <w:rFonts w:ascii="Cambria Math" w:hAnsi="Cambria Math" w:cs="Cambria"/>
                    <w:color w:val="000000"/>
                  </w:rPr>
                  <m:t>i</m:t>
                </m:r>
              </m:sub>
            </m:sSub>
            <m:r>
              <w:rPr>
                <w:rFonts w:ascii="Cambria Math" w:hAnsi="Cambria Math" w:cs="Cambria"/>
                <w:color w:val="000000"/>
              </w:rPr>
              <m:t>)</m:t>
            </m:r>
          </m:e>
        </m:nary>
      </m:oMath>
      <w:r>
        <w:rPr>
          <w:rFonts w:ascii="Cambria" w:hAnsi="Cambria" w:cs="Cambria"/>
          <w:color w:val="000000"/>
        </w:rPr>
        <w:t xml:space="preserve">. </w:t>
      </w:r>
    </w:p>
    <w:p w14:paraId="1F2CB9C9" w14:textId="77777777" w:rsidR="00984073" w:rsidRDefault="00984073" w:rsidP="00984073">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Cambria" w:hAnsi="Cambria" w:cs="Cambria"/>
          <w:color w:val="000000"/>
        </w:rPr>
      </w:pPr>
      <w:r>
        <w:rPr>
          <w:rFonts w:ascii="Cambria" w:hAnsi="Cambria" w:cs="Cambria"/>
          <w:color w:val="000000"/>
        </w:rPr>
        <w:t xml:space="preserve">α = 2 results in the poverty gap-squared index, measuring each individual’s squared poverty gap, which is then summed and normalized by the number of individuals in the population multiplied by the poverty line squared, i.e., </w:t>
      </w:r>
      <m:oMath>
        <m:r>
          <w:rPr>
            <w:rFonts w:ascii="Cambria Math" w:hAnsi="Cambria Math" w:cs="Cambria"/>
            <w:color w:val="000000"/>
          </w:rPr>
          <m:t>FGT</m:t>
        </m:r>
        <m:d>
          <m:dPr>
            <m:ctrlPr>
              <w:rPr>
                <w:rFonts w:ascii="Cambria Math" w:hAnsi="Cambria Math" w:cs="Cambria"/>
                <w:i/>
                <w:color w:val="000000"/>
              </w:rPr>
            </m:ctrlPr>
          </m:dPr>
          <m:e>
            <m:r>
              <w:rPr>
                <w:rFonts w:ascii="Cambria Math" w:hAnsi="Cambria Math" w:cs="Cambria"/>
                <w:color w:val="000000"/>
              </w:rPr>
              <m:t>2</m:t>
            </m:r>
          </m:e>
        </m:d>
        <m:r>
          <w:rPr>
            <w:rFonts w:ascii="Cambria Math" w:hAnsi="Cambria Math" w:cs="Cambria"/>
            <w:color w:val="000000"/>
          </w:rPr>
          <m:t xml:space="preserve">= </m:t>
        </m:r>
        <m:f>
          <m:fPr>
            <m:ctrlPr>
              <w:rPr>
                <w:rFonts w:ascii="Cambria Math" w:hAnsi="Cambria Math" w:cs="Cambria"/>
                <w:i/>
                <w:color w:val="000000"/>
              </w:rPr>
            </m:ctrlPr>
          </m:fPr>
          <m:num>
            <m:r>
              <w:rPr>
                <w:rFonts w:ascii="Cambria Math" w:hAnsi="Cambria Math" w:cs="Cambria"/>
                <w:color w:val="000000"/>
              </w:rPr>
              <m:t>1</m:t>
            </m:r>
          </m:num>
          <m:den>
            <m:r>
              <w:rPr>
                <w:rFonts w:ascii="Cambria Math" w:hAnsi="Cambria Math" w:cs="Cambria"/>
                <w:color w:val="000000"/>
              </w:rPr>
              <m:t>N</m:t>
            </m:r>
            <m:sSup>
              <m:sSupPr>
                <m:ctrlPr>
                  <w:rPr>
                    <w:rFonts w:ascii="Cambria Math" w:hAnsi="Cambria Math" w:cs="Cambria"/>
                    <w:i/>
                    <w:color w:val="000000"/>
                  </w:rPr>
                </m:ctrlPr>
              </m:sSupPr>
              <m:e>
                <m:r>
                  <w:rPr>
                    <w:rFonts w:ascii="Cambria Math" w:hAnsi="Cambria Math" w:cs="Cambria"/>
                    <w:color w:val="000000"/>
                  </w:rPr>
                  <m:t>z</m:t>
                </m:r>
              </m:e>
              <m:sup>
                <m:r>
                  <w:rPr>
                    <w:rFonts w:ascii="Cambria Math" w:hAnsi="Cambria Math" w:cs="Cambria"/>
                    <w:color w:val="000000"/>
                  </w:rPr>
                  <m:t>2</m:t>
                </m:r>
              </m:sup>
            </m:sSup>
            <m:r>
              <w:rPr>
                <w:rFonts w:ascii="Cambria Math" w:hAnsi="Cambria Math" w:cs="Cambria"/>
                <w:color w:val="000000"/>
              </w:rPr>
              <m:t xml:space="preserve"> </m:t>
            </m:r>
          </m:den>
        </m:f>
        <m:nary>
          <m:naryPr>
            <m:chr m:val="∑"/>
            <m:limLoc m:val="undOvr"/>
            <m:ctrlPr>
              <w:rPr>
                <w:rFonts w:ascii="Cambria Math" w:hAnsi="Cambria Math" w:cs="Cambria"/>
                <w:i/>
                <w:color w:val="000000"/>
              </w:rPr>
            </m:ctrlPr>
          </m:naryPr>
          <m:sub>
            <m:r>
              <w:rPr>
                <w:rFonts w:ascii="Cambria Math" w:hAnsi="Cambria Math" w:cs="Cambria"/>
                <w:color w:val="000000"/>
              </w:rPr>
              <m:t>i=1</m:t>
            </m:r>
          </m:sub>
          <m:sup>
            <m:r>
              <w:rPr>
                <w:rFonts w:ascii="Cambria Math" w:hAnsi="Cambria Math" w:cs="Cambria"/>
                <w:color w:val="000000"/>
              </w:rPr>
              <m:t>q</m:t>
            </m:r>
          </m:sup>
          <m:e>
            <m:sSup>
              <m:sSupPr>
                <m:ctrlPr>
                  <w:rPr>
                    <w:rFonts w:ascii="Cambria Math" w:hAnsi="Cambria Math" w:cs="Cambria"/>
                    <w:i/>
                    <w:color w:val="000000"/>
                  </w:rPr>
                </m:ctrlPr>
              </m:sSupPr>
              <m:e>
                <m:r>
                  <w:rPr>
                    <w:rFonts w:ascii="Cambria Math" w:hAnsi="Cambria Math" w:cs="Cambria"/>
                    <w:color w:val="000000"/>
                  </w:rPr>
                  <m:t>(z-</m:t>
                </m:r>
                <m:sSub>
                  <m:sSubPr>
                    <m:ctrlPr>
                      <w:rPr>
                        <w:rFonts w:ascii="Cambria Math" w:hAnsi="Cambria Math" w:cs="Cambria"/>
                        <w:i/>
                        <w:color w:val="000000"/>
                      </w:rPr>
                    </m:ctrlPr>
                  </m:sSubPr>
                  <m:e>
                    <m:r>
                      <w:rPr>
                        <w:rFonts w:ascii="Cambria Math" w:hAnsi="Cambria Math" w:cs="Cambria"/>
                        <w:color w:val="000000"/>
                      </w:rPr>
                      <m:t>y</m:t>
                    </m:r>
                  </m:e>
                  <m:sub>
                    <m:r>
                      <w:rPr>
                        <w:rFonts w:ascii="Cambria Math" w:hAnsi="Cambria Math" w:cs="Cambria"/>
                        <w:color w:val="000000"/>
                      </w:rPr>
                      <m:t>i</m:t>
                    </m:r>
                  </m:sub>
                </m:sSub>
                <m:r>
                  <w:rPr>
                    <w:rFonts w:ascii="Cambria Math" w:hAnsi="Cambria Math" w:cs="Cambria"/>
                    <w:color w:val="000000"/>
                  </w:rPr>
                  <m:t>)</m:t>
                </m:r>
              </m:e>
              <m:sup>
                <m:r>
                  <w:rPr>
                    <w:rFonts w:ascii="Cambria Math" w:hAnsi="Cambria Math" w:cs="Cambria"/>
                    <w:color w:val="000000"/>
                  </w:rPr>
                  <m:t>2</m:t>
                </m:r>
              </m:sup>
            </m:sSup>
          </m:e>
        </m:nary>
      </m:oMath>
      <w:r>
        <w:rPr>
          <w:rFonts w:ascii="Cambria" w:hAnsi="Cambria" w:cs="Cambria"/>
          <w:color w:val="000000"/>
        </w:rPr>
        <w:t xml:space="preserve">. </w:t>
      </w:r>
    </w:p>
    <w:p w14:paraId="11E0271E" w14:textId="77777777" w:rsidR="00984073" w:rsidRPr="009858DD" w:rsidRDefault="00984073" w:rsidP="00984073">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mbria" w:hAnsi="Cambria" w:cs="Cambria"/>
          <w:color w:val="000000"/>
        </w:rPr>
      </w:pPr>
    </w:p>
    <w:p w14:paraId="5F496E3B" w14:textId="73630672"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The poverty headcount ratio takes the intuitive absolute number of poor individuals </w:t>
      </w:r>
      <w:r>
        <w:rPr>
          <w:rFonts w:ascii="Cambria" w:hAnsi="Cambria" w:cs="Cambria"/>
          <w:color w:val="000000"/>
        </w:rPr>
        <w:lastRenderedPageBreak/>
        <w:t>in an economy, that is, those whose incomes (</w:t>
      </w:r>
      <w:r w:rsidRPr="00AF6DEB">
        <w:rPr>
          <w:rFonts w:ascii="Cambria" w:hAnsi="Cambria" w:cs="Cambria"/>
          <w:i/>
          <w:color w:val="000000"/>
        </w:rPr>
        <w:t>y</w:t>
      </w:r>
      <w:r w:rsidRPr="00AF6DEB">
        <w:rPr>
          <w:rFonts w:ascii="Cambria" w:hAnsi="Cambria" w:cs="Cambria"/>
          <w:i/>
          <w:color w:val="000000"/>
          <w:vertAlign w:val="subscript"/>
        </w:rPr>
        <w:t>i</w:t>
      </w:r>
      <w:r>
        <w:rPr>
          <w:rFonts w:ascii="Cambria" w:hAnsi="Cambria" w:cs="Cambria"/>
          <w:color w:val="000000"/>
        </w:rPr>
        <w:t>) are beneath the poverty line (</w:t>
      </w:r>
      <w:r w:rsidRPr="00AF6DEB">
        <w:rPr>
          <w:rFonts w:ascii="Cambria" w:hAnsi="Cambria" w:cs="Cambria"/>
          <w:i/>
          <w:color w:val="000000"/>
        </w:rPr>
        <w:t>z</w:t>
      </w:r>
      <w:r>
        <w:rPr>
          <w:rFonts w:ascii="Cambria" w:hAnsi="Cambria" w:cs="Cambria"/>
          <w:color w:val="000000"/>
        </w:rPr>
        <w:t>)</w:t>
      </w:r>
      <w:r w:rsidR="00BF494F">
        <w:rPr>
          <w:rFonts w:ascii="Cambria" w:hAnsi="Cambria" w:cs="Cambria"/>
          <w:color w:val="000000"/>
        </w:rPr>
        <w:t xml:space="preserve"> and counting them</w:t>
      </w:r>
      <w:r>
        <w:rPr>
          <w:rFonts w:ascii="Cambria" w:hAnsi="Cambria" w:cs="Cambria"/>
          <w:color w:val="000000"/>
        </w:rPr>
        <w:t>. But the total number of poor individuals is not comparable across countries because countries have populations of different sizes. Therefore, the poverty headcount is turned into a ratio by dividing it by the size of the population</w:t>
      </w:r>
      <w:r w:rsidR="00BF494F">
        <w:rPr>
          <w:rFonts w:ascii="Cambria" w:hAnsi="Cambria" w:cs="Cambria"/>
          <w:color w:val="000000"/>
        </w:rPr>
        <w:t xml:space="preserve"> – city, state, or country – </w:t>
      </w:r>
      <w:r>
        <w:rPr>
          <w:rFonts w:ascii="Cambria" w:hAnsi="Cambria" w:cs="Cambria"/>
          <w:color w:val="000000"/>
        </w:rPr>
        <w:t xml:space="preserve">to make it comparable across economies. The poverty headcount ratio must fall between 0 and 1: that is, if there are no people living beneath a poverty line, then FGT(0) = 0 and if all people fall beneath the poverty line then FGT(0) = 1. For most students, the normalization by the population size is intuitive and immediately understood. </w:t>
      </w:r>
    </w:p>
    <w:p w14:paraId="1F16C073" w14:textId="77777777" w:rsidR="00984073" w:rsidRPr="00317A3C"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46E1CEA6"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The poverty gap index first calculates the sum of all poor individuals’ income gaps: that is, the difference between their income and the poverty line. Each individual’s poverty gap is then summed across all poor individuals. This poverty gap provides a first approximation for the amount of money (in local currency) that would be required to lift all poor individuals out of poverty. As a result, students learn the </w:t>
      </w:r>
      <w:r>
        <w:rPr>
          <w:rFonts w:ascii="Cambria" w:hAnsi="Cambria" w:cs="Cambria"/>
          <w:i/>
          <w:color w:val="000000"/>
        </w:rPr>
        <w:t>policy</w:t>
      </w:r>
      <w:r>
        <w:rPr>
          <w:rFonts w:ascii="Cambria" w:hAnsi="Cambria" w:cs="Cambria"/>
          <w:color w:val="000000"/>
        </w:rPr>
        <w:t xml:space="preserve"> aspect of poverty measurement: that is, a first order question of how much money in absolute terms the government would have to spend to eliminate poverty (assuming no change in the number of poor individuals). </w:t>
      </w:r>
    </w:p>
    <w:p w14:paraId="5FC18C1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F287419" w14:textId="5FEC0B8C" w:rsidR="00984073" w:rsidRPr="005A19D8"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Though students find this insight itself worthwhile, an instructor needs to follow up with the next insight: is this absolute number comparable across economies?  Students will typically answer with important ideas, such as the value of the exchange rate, the size of the population, and the different kinds of goods people consume locally (especially given just-seen discussions of purchasing power parity</w:t>
      </w:r>
      <w:r w:rsidR="009B0E5D">
        <w:rPr>
          <w:rFonts w:ascii="Cambria" w:hAnsi="Cambria" w:cs="Cambria"/>
          <w:color w:val="000000"/>
        </w:rPr>
        <w:t xml:space="preserve"> under the topic of income</w:t>
      </w:r>
      <w:r>
        <w:rPr>
          <w:rFonts w:ascii="Cambria" w:hAnsi="Cambria" w:cs="Cambria"/>
          <w:color w:val="000000"/>
        </w:rPr>
        <w:t>). It then becomes clear that the first part of the FGT(1) formula helps policy-makers (economists or students) to make comparisons across economies because it takes the local poverty line, multiplies it by the total population and therefore provides a measure between 0 and 1 which can be compared across economies. Though the poverty gap in one country may seem small in dollar terms, if in local terms (with a small population) many people are far from the poverty line, then the size of the FGT(1) measure will be large, whereas in another country with an initially larger poverty gap, but also a larger population and higher poverty line, the FGT(1) measure may be significantly smaller and closer to zero. In this way, students come to understand the extent of an individual</w:t>
      </w:r>
      <w:r w:rsidR="009D6A24">
        <w:rPr>
          <w:rFonts w:ascii="Cambria" w:hAnsi="Cambria" w:cs="Cambria"/>
          <w:color w:val="000000"/>
        </w:rPr>
        <w:t>’</w:t>
      </w:r>
      <w:r>
        <w:rPr>
          <w:rFonts w:ascii="Cambria" w:hAnsi="Cambria" w:cs="Cambria"/>
          <w:color w:val="000000"/>
        </w:rPr>
        <w:t xml:space="preserve">s </w:t>
      </w:r>
      <w:r>
        <w:rPr>
          <w:rFonts w:ascii="Cambria" w:hAnsi="Cambria" w:cs="Cambria"/>
          <w:i/>
          <w:color w:val="000000"/>
        </w:rPr>
        <w:t>depth</w:t>
      </w:r>
      <w:r>
        <w:rPr>
          <w:rFonts w:ascii="Cambria" w:hAnsi="Cambria" w:cs="Cambria"/>
          <w:color w:val="000000"/>
        </w:rPr>
        <w:t xml:space="preserve"> in poverty, the total money required to raise people out of poverty (the absolute poverty gap) and therefore the total depth of poverty, and the ways in which poverty gaps can be compared across countries (using the indexed version of the poverty gap or the FGT(1)). </w:t>
      </w:r>
    </w:p>
    <w:p w14:paraId="6DFAB4D4"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45F80960" w14:textId="60D3D563"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Similar insights apply to the FGT(2). Many students, when first encountering the poverty gap-squared are able to compute the poverty gap, but </w:t>
      </w:r>
      <w:r w:rsidR="00FA181C">
        <w:rPr>
          <w:rFonts w:ascii="Cambria" w:hAnsi="Cambria" w:cs="Cambria"/>
          <w:color w:val="000000"/>
        </w:rPr>
        <w:t>the make the error of</w:t>
      </w:r>
      <w:r w:rsidR="00145386">
        <w:rPr>
          <w:rFonts w:ascii="Cambria" w:hAnsi="Cambria" w:cs="Cambria"/>
          <w:color w:val="000000"/>
        </w:rPr>
        <w:t xml:space="preserve"> squaring the total gap rather than</w:t>
      </w:r>
      <w:r w:rsidR="00FA181C">
        <w:rPr>
          <w:rFonts w:ascii="Cambria" w:hAnsi="Cambria" w:cs="Cambria"/>
          <w:color w:val="000000"/>
        </w:rPr>
        <w:t xml:space="preserve"> </w:t>
      </w:r>
      <w:r>
        <w:rPr>
          <w:rFonts w:ascii="Cambria" w:hAnsi="Cambria" w:cs="Cambria"/>
          <w:color w:val="000000"/>
        </w:rPr>
        <w:t xml:space="preserve">squaring each individual’s gap and summing across the squared gaps. Students can readily identify that the poverty gap-squared (before indexing) gives higher values to those who are further from the poverty line. </w:t>
      </w:r>
      <w:r w:rsidR="00124273">
        <w:rPr>
          <w:rFonts w:ascii="Cambria" w:hAnsi="Cambria" w:cs="Cambria"/>
          <w:color w:val="000000"/>
        </w:rPr>
        <w:t xml:space="preserve">The poverty gap-squared therefore shows the </w:t>
      </w:r>
      <w:r w:rsidR="00124273" w:rsidRPr="00124273">
        <w:rPr>
          <w:rFonts w:ascii="Cambria" w:hAnsi="Cambria" w:cs="Cambria"/>
          <w:i/>
          <w:color w:val="000000"/>
        </w:rPr>
        <w:t>severity</w:t>
      </w:r>
      <w:r w:rsidR="00124273">
        <w:rPr>
          <w:rFonts w:ascii="Cambria" w:hAnsi="Cambria" w:cs="Cambria"/>
          <w:color w:val="000000"/>
        </w:rPr>
        <w:t xml:space="preserve"> of poverty in an economy because it gives greater weight to those individuals with income most distant from </w:t>
      </w:r>
      <w:r w:rsidR="00124273">
        <w:rPr>
          <w:rFonts w:ascii="Cambria" w:hAnsi="Cambria" w:cs="Cambria"/>
          <w:color w:val="000000"/>
        </w:rPr>
        <w:lastRenderedPageBreak/>
        <w:t>the poverty line.</w:t>
      </w:r>
      <w:r w:rsidR="001158B1">
        <w:rPr>
          <w:rFonts w:ascii="Cambria" w:hAnsi="Cambria" w:cs="Cambria"/>
          <w:color w:val="000000"/>
        </w:rPr>
        <w:t xml:space="preserve"> Students </w:t>
      </w:r>
      <w:r>
        <w:rPr>
          <w:rFonts w:ascii="Cambria" w:hAnsi="Cambria" w:cs="Cambria"/>
          <w:color w:val="000000"/>
        </w:rPr>
        <w:t>also identify that the poverty gap-squared cannot be compared across economies because of differences highlighted earl</w:t>
      </w:r>
      <w:r w:rsidR="00EC6C4D">
        <w:rPr>
          <w:rFonts w:ascii="Cambria" w:hAnsi="Cambria" w:cs="Cambria"/>
          <w:color w:val="000000"/>
        </w:rPr>
        <w:t>ier for the poverty gap. B</w:t>
      </w:r>
      <w:r>
        <w:rPr>
          <w:rFonts w:ascii="Cambria" w:hAnsi="Cambria" w:cs="Cambria"/>
          <w:color w:val="000000"/>
        </w:rPr>
        <w:t>y learning that the value can be indexed by normalizing it by the total population multiplied by the poverty line squared, students are able to compare FGT(2) m</w:t>
      </w:r>
      <w:r w:rsidR="00BA7D87">
        <w:rPr>
          <w:rFonts w:ascii="Cambria" w:hAnsi="Cambria" w:cs="Cambria"/>
          <w:color w:val="000000"/>
        </w:rPr>
        <w:t xml:space="preserve">easures across countries, as is </w:t>
      </w:r>
      <w:r>
        <w:rPr>
          <w:rFonts w:ascii="Cambria" w:hAnsi="Cambria" w:cs="Cambria"/>
          <w:color w:val="000000"/>
        </w:rPr>
        <w:t xml:space="preserve">often done in the economic development literature. </w:t>
      </w:r>
    </w:p>
    <w:p w14:paraId="578C7221"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4203360D"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Though values of α larger than 2 can be conceived, their value in terms of instruction are limited. Unless a student has taken political philosophy, for example, she would not understand that as α tends to infinity the value of the FGT index tends towards a Rawlsian Rule by which society judges poverty only on the basis of the poorest of the poor. </w:t>
      </w:r>
    </w:p>
    <w:p w14:paraId="59DDD08D" w14:textId="77777777" w:rsidR="00984073" w:rsidRDefault="00984073" w:rsidP="00984073">
      <w:pPr>
        <w:pStyle w:val="Heading2"/>
      </w:pPr>
      <w:r>
        <w:t>Inequality</w:t>
      </w:r>
    </w:p>
    <w:p w14:paraId="2D96915B" w14:textId="03B9B6B4" w:rsidR="00984073" w:rsidRDefault="00984073" w:rsidP="00984073">
      <w:r>
        <w:t xml:space="preserve">Many ways to measure inequality exist in the economics literature. Notwithstanding the usefulness of measures like the Atkinson index and the Theil Index (or the class of generalized entropy measures), I focus on two measures in my classroom because of their ease of understanding either graphically, as with the Gini </w:t>
      </w:r>
      <w:r w:rsidR="00016753">
        <w:t>index</w:t>
      </w:r>
      <w:r>
        <w:t>, or mathematically, as with the Palma measure.</w:t>
      </w:r>
      <w:r>
        <w:rPr>
          <w:rStyle w:val="FootnoteReference"/>
        </w:rPr>
        <w:footnoteReference w:id="2"/>
      </w:r>
      <w:r>
        <w:t xml:space="preserve">  The Gini </w:t>
      </w:r>
      <w:r w:rsidR="00016753">
        <w:t>index</w:t>
      </w:r>
      <w:r>
        <w:t xml:space="preserve"> is often taught graphically as the difference between the Lorenz curve, or the cumulative distribution of income in an economy, and the line of perfectly distributed income, divided by the total area beneath the curve of the line of perfect equality. Thus, we have that the Gini (G) index is given by:</w:t>
      </w:r>
    </w:p>
    <w:p w14:paraId="04532BA0" w14:textId="77777777" w:rsidR="00984073" w:rsidRPr="000803AB" w:rsidRDefault="00984073" w:rsidP="00984073">
      <m:oMathPara>
        <m:oMathParaPr>
          <m:jc m:val="center"/>
        </m:oMathParaPr>
        <m:oMath>
          <m:r>
            <w:rPr>
              <w:rFonts w:ascii="Cambria Math" w:hAnsi="Cambria Math"/>
            </w:rPr>
            <m:t>G=</m:t>
          </m:r>
          <m:f>
            <m:fPr>
              <m:ctrlPr>
                <w:rPr>
                  <w:rFonts w:ascii="Cambria Math" w:hAnsi="Cambria Math"/>
                  <w:i/>
                </w:rPr>
              </m:ctrlPr>
            </m:fPr>
            <m:num>
              <m:r>
                <w:rPr>
                  <w:rFonts w:ascii="Cambria Math" w:hAnsi="Cambria Math"/>
                </w:rPr>
                <m:t>A</m:t>
              </m:r>
            </m:num>
            <m:den>
              <m:r>
                <w:rPr>
                  <w:rFonts w:ascii="Cambria Math" w:hAnsi="Cambria Math"/>
                </w:rPr>
                <m:t>A+B</m:t>
              </m:r>
            </m:den>
          </m:f>
        </m:oMath>
      </m:oMathPara>
    </w:p>
    <w:p w14:paraId="05BD4B42" w14:textId="77777777" w:rsidR="00984073" w:rsidRDefault="00984073" w:rsidP="00984073">
      <w:r>
        <w:t xml:space="preserve">Where A is the area between the Lorenz curve and the line of equality and A + B is the area beneath the line of equality. </w:t>
      </w:r>
    </w:p>
    <w:p w14:paraId="49FCC3F2" w14:textId="77777777" w:rsidR="00984073" w:rsidRPr="000803AB" w:rsidRDefault="00984073" w:rsidP="00984073"/>
    <w:p w14:paraId="00F5F1C3" w14:textId="31183F0D" w:rsidR="00984073" w:rsidRDefault="00984073" w:rsidP="00984073">
      <w:r>
        <w:t xml:space="preserve">The Gini </w:t>
      </w:r>
      <w:r w:rsidR="00016753">
        <w:t>index</w:t>
      </w:r>
      <w:r>
        <w:t xml:space="preserve"> can also be measured with household and individual data using covariance as follows</w:t>
      </w:r>
      <w:r w:rsidR="002233FE">
        <w:t xml:space="preserve"> (Pyatt, et al, 1980)</w:t>
      </w:r>
      <w:r>
        <w:t xml:space="preserve">: </w:t>
      </w:r>
    </w:p>
    <w:p w14:paraId="764866F5" w14:textId="77777777" w:rsidR="00984073" w:rsidRPr="000803AB" w:rsidRDefault="00984073" w:rsidP="00984073">
      <m:oMathPara>
        <m:oMathParaPr>
          <m:jc m:val="center"/>
        </m:oMathParaPr>
        <m:oMath>
          <m:r>
            <w:rPr>
              <w:rFonts w:ascii="Cambria Math" w:hAnsi="Cambria Math"/>
            </w:rPr>
            <m:t>G=cov</m:t>
          </m:r>
          <m:d>
            <m:dPr>
              <m:ctrlPr>
                <w:rPr>
                  <w:rFonts w:ascii="Cambria Math" w:hAnsi="Cambria Math"/>
                  <w:i/>
                </w:rPr>
              </m:ctrlPr>
            </m:dPr>
            <m:e>
              <m:r>
                <w:rPr>
                  <w:rFonts w:ascii="Cambria Math" w:hAnsi="Cambria Math"/>
                </w:rPr>
                <m:t>y,F</m:t>
              </m:r>
              <m:d>
                <m:dPr>
                  <m:ctrlPr>
                    <w:rPr>
                      <w:rFonts w:ascii="Cambria Math" w:hAnsi="Cambria Math"/>
                      <w:i/>
                    </w:rPr>
                  </m:ctrlPr>
                </m:dPr>
                <m:e>
                  <m:r>
                    <w:rPr>
                      <w:rFonts w:ascii="Cambria Math" w:hAnsi="Cambria Math"/>
                    </w:rPr>
                    <m:t>y</m:t>
                  </m:r>
                </m:e>
              </m:d>
            </m:e>
          </m:d>
          <m:f>
            <m:fPr>
              <m:ctrlPr>
                <w:rPr>
                  <w:rFonts w:ascii="Cambria Math" w:hAnsi="Cambria Math"/>
                  <w:i/>
                </w:rPr>
              </m:ctrlPr>
            </m:fPr>
            <m:num>
              <m:r>
                <w:rPr>
                  <w:rFonts w:ascii="Cambria Math" w:hAnsi="Cambria Math"/>
                </w:rPr>
                <m:t>2</m:t>
              </m:r>
            </m:num>
            <m:den>
              <m:acc>
                <m:accPr>
                  <m:chr m:val="̅"/>
                  <m:ctrlPr>
                    <w:rPr>
                      <w:rFonts w:ascii="Cambria Math" w:hAnsi="Cambria Math"/>
                      <w:i/>
                    </w:rPr>
                  </m:ctrlPr>
                </m:accPr>
                <m:e>
                  <m:r>
                    <w:rPr>
                      <w:rFonts w:ascii="Cambria Math" w:hAnsi="Cambria Math"/>
                    </w:rPr>
                    <m:t>y</m:t>
                  </m:r>
                </m:e>
              </m:acc>
            </m:den>
          </m:f>
        </m:oMath>
      </m:oMathPara>
    </w:p>
    <w:p w14:paraId="52A2A9C8" w14:textId="77777777" w:rsidR="00984073" w:rsidRDefault="00984073" w:rsidP="00984073">
      <w:r>
        <w:t xml:space="preserve">Where </w:t>
      </w:r>
      <w:r w:rsidRPr="000803AB">
        <w:rPr>
          <w:i/>
        </w:rPr>
        <w:t>cov</w:t>
      </w:r>
      <w:r>
        <w:t xml:space="preserve"> is the covariance of income level </w:t>
      </w:r>
      <w:r>
        <w:rPr>
          <w:i/>
        </w:rPr>
        <w:t>y</w:t>
      </w:r>
      <w:r>
        <w:t xml:space="preserve">, the cumulative distribution of </w:t>
      </w:r>
      <w:r>
        <w:rPr>
          <w:i/>
        </w:rPr>
        <w:t>y</w:t>
      </w:r>
      <w:r>
        <w:t xml:space="preserve"> given by </w:t>
      </w:r>
      <w:r w:rsidRPr="000803AB">
        <w:rPr>
          <w:i/>
        </w:rPr>
        <w:t>F(y)</w:t>
      </w:r>
      <w:r>
        <w:rPr>
          <w:i/>
        </w:rPr>
        <w:t>,</w:t>
      </w:r>
      <w:r>
        <w:t xml:space="preserve"> and </w:t>
      </w:r>
      <m:oMath>
        <m:acc>
          <m:accPr>
            <m:chr m:val="̅"/>
            <m:ctrlPr>
              <w:rPr>
                <w:rFonts w:ascii="Cambria Math" w:hAnsi="Cambria Math"/>
                <w:i/>
              </w:rPr>
            </m:ctrlPr>
          </m:accPr>
          <m:e>
            <m:r>
              <w:rPr>
                <w:rFonts w:ascii="Cambria Math" w:hAnsi="Cambria Math"/>
              </w:rPr>
              <m:t>y</m:t>
            </m:r>
          </m:e>
        </m:acc>
      </m:oMath>
      <w:r>
        <w:t xml:space="preserve"> is average income. </w:t>
      </w:r>
    </w:p>
    <w:p w14:paraId="45584EDF" w14:textId="77777777" w:rsidR="00984073" w:rsidRDefault="00984073" w:rsidP="00984073"/>
    <w:p w14:paraId="67D6AC75" w14:textId="77777777" w:rsidR="00984073" w:rsidRDefault="00984073" w:rsidP="00984073">
      <w:pPr>
        <w:keepNext/>
      </w:pPr>
      <w:r>
        <w:rPr>
          <w:noProof/>
        </w:rPr>
        <w:lastRenderedPageBreak/>
        <w:drawing>
          <wp:inline distT="0" distB="0" distL="0" distR="0" wp14:anchorId="4CF00A4E" wp14:editId="0F17DC53">
            <wp:extent cx="4568483" cy="305781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_j.png"/>
                    <pic:cNvPicPr/>
                  </pic:nvPicPr>
                  <pic:blipFill>
                    <a:blip r:embed="rId8">
                      <a:extLst>
                        <a:ext uri="{28A0092B-C50C-407E-A947-70E740481C1C}">
                          <a14:useLocalDpi xmlns:a14="http://schemas.microsoft.com/office/drawing/2010/main" val="0"/>
                        </a:ext>
                      </a:extLst>
                    </a:blip>
                    <a:stretch>
                      <a:fillRect/>
                    </a:stretch>
                  </pic:blipFill>
                  <pic:spPr>
                    <a:xfrm>
                      <a:off x="0" y="0"/>
                      <a:ext cx="4569171" cy="3058277"/>
                    </a:xfrm>
                    <a:prstGeom prst="rect">
                      <a:avLst/>
                    </a:prstGeom>
                  </pic:spPr>
                </pic:pic>
              </a:graphicData>
            </a:graphic>
          </wp:inline>
        </w:drawing>
      </w:r>
    </w:p>
    <w:p w14:paraId="31A2F07A" w14:textId="399071C3" w:rsidR="00984073" w:rsidRPr="00FE3FF9" w:rsidRDefault="00984073" w:rsidP="00984073">
      <w:pPr>
        <w:pStyle w:val="Caption"/>
        <w:rPr>
          <w:b w:val="0"/>
          <w:color w:val="auto"/>
        </w:rPr>
      </w:pPr>
      <w:r w:rsidRPr="00FE3FF9">
        <w:rPr>
          <w:b w:val="0"/>
          <w:color w:val="auto"/>
        </w:rPr>
        <w:t xml:space="preserve">Figure </w:t>
      </w:r>
      <w:r w:rsidRPr="00FE3FF9">
        <w:rPr>
          <w:b w:val="0"/>
          <w:color w:val="auto"/>
        </w:rPr>
        <w:fldChar w:fldCharType="begin"/>
      </w:r>
      <w:r w:rsidRPr="00FE3FF9">
        <w:rPr>
          <w:b w:val="0"/>
          <w:color w:val="auto"/>
        </w:rPr>
        <w:instrText xml:space="preserve"> SEQ Figure \* ARABIC </w:instrText>
      </w:r>
      <w:r w:rsidRPr="00FE3FF9">
        <w:rPr>
          <w:b w:val="0"/>
          <w:color w:val="auto"/>
        </w:rPr>
        <w:fldChar w:fldCharType="separate"/>
      </w:r>
      <w:r>
        <w:rPr>
          <w:b w:val="0"/>
          <w:noProof/>
          <w:color w:val="auto"/>
        </w:rPr>
        <w:t>1</w:t>
      </w:r>
      <w:r w:rsidRPr="00FE3FF9">
        <w:rPr>
          <w:b w:val="0"/>
          <w:color w:val="auto"/>
        </w:rPr>
        <w:fldChar w:fldCharType="end"/>
      </w:r>
      <w:r w:rsidRPr="00FE3FF9">
        <w:rPr>
          <w:b w:val="0"/>
          <w:color w:val="auto"/>
        </w:rPr>
        <w:t xml:space="preserve">: </w:t>
      </w:r>
      <w:r w:rsidR="00F150CD">
        <w:rPr>
          <w:b w:val="0"/>
          <w:color w:val="auto"/>
        </w:rPr>
        <w:t xml:space="preserve">The horizontal axis is the cumulative population share. The vertical axis is the cumulative income. </w:t>
      </w:r>
      <w:r w:rsidRPr="00FE3FF9">
        <w:rPr>
          <w:b w:val="0"/>
          <w:color w:val="auto"/>
        </w:rPr>
        <w:t>The Lorenz Curve for a fictional economy is shown by the solid black line. The line of perfect equality for the lowest ten percent to the highest ten percent is shown by the dashed black line. Area A is the area between the line of perfect equality</w:t>
      </w:r>
      <w:r>
        <w:rPr>
          <w:b w:val="0"/>
          <w:color w:val="auto"/>
        </w:rPr>
        <w:t xml:space="preserve"> and the Lorenz curve. The sum of areas A and B provides the total area below the line of perfect equality and the Gini </w:t>
      </w:r>
      <w:r w:rsidR="00016753">
        <w:rPr>
          <w:b w:val="0"/>
          <w:color w:val="auto"/>
        </w:rPr>
        <w:t>index</w:t>
      </w:r>
      <w:r>
        <w:rPr>
          <w:b w:val="0"/>
          <w:color w:val="auto"/>
        </w:rPr>
        <w:t>, G = A/(A+B). The data for this curve are given by ‘Economy J’ in Table 1.</w:t>
      </w:r>
    </w:p>
    <w:p w14:paraId="52F04858" w14:textId="77777777" w:rsidR="00984073" w:rsidRDefault="00984073" w:rsidP="00984073"/>
    <w:p w14:paraId="67143182" w14:textId="718DB0E3" w:rsidR="00984073" w:rsidRDefault="00984073" w:rsidP="00984073">
      <w:r>
        <w:t xml:space="preserve">The graphical nature of the Gini </w:t>
      </w:r>
      <w:r w:rsidR="00016753">
        <w:t xml:space="preserve">index </w:t>
      </w:r>
      <w:r>
        <w:t xml:space="preserve">lends it an intuitive appeal to students who can understand the shape of the Lorenz curve (and as a result, typically, of having taken calculus and pre-calculus courses). Students grasp how the Gini depends on the extent to which those individuals or households at different parts of the cumulative income distribution deviate from equal income shares. But, the Gini </w:t>
      </w:r>
      <w:r w:rsidR="00016753">
        <w:t>index</w:t>
      </w:r>
      <w:r>
        <w:t>, by construction</w:t>
      </w:r>
      <w:r w:rsidR="00E85336">
        <w:t>,</w:t>
      </w:r>
      <w:r>
        <w:t xml:space="preserve"> is not particularly sensitive to changes at the tails of the income distribution.</w:t>
      </w:r>
      <w:r>
        <w:rPr>
          <w:rStyle w:val="FootnoteReference"/>
        </w:rPr>
        <w:footnoteReference w:id="3"/>
      </w:r>
      <w:r>
        <w:t xml:space="preserve"> </w:t>
      </w:r>
      <w:r w:rsidR="009A54C5">
        <w:t>The Gini</w:t>
      </w:r>
      <w:r w:rsidR="00600713">
        <w:t xml:space="preserve"> therefore fails to </w:t>
      </w:r>
      <w:r w:rsidR="00AD2755">
        <w:t xml:space="preserve">correspond to the intuitions that students have </w:t>
      </w:r>
      <w:r w:rsidR="00D3032D">
        <w:t xml:space="preserve">about </w:t>
      </w:r>
      <w:r w:rsidR="00B32E2D">
        <w:t>the definition of inequality</w:t>
      </w:r>
      <w:r w:rsidR="009A54C5">
        <w:t xml:space="preserve">: that it </w:t>
      </w:r>
      <w:r w:rsidR="00433839">
        <w:t xml:space="preserve">should be </w:t>
      </w:r>
      <w:r w:rsidR="00433839">
        <w:rPr>
          <w:i/>
        </w:rPr>
        <w:t>higher</w:t>
      </w:r>
      <w:r w:rsidR="00433839">
        <w:t xml:space="preserve"> for</w:t>
      </w:r>
      <w:r w:rsidR="005A331B">
        <w:t xml:space="preserve"> differences between the highest and lowest parts of the income distribution rather than </w:t>
      </w:r>
      <w:r w:rsidR="000F36DD">
        <w:t>differences within the middle of the distribution</w:t>
      </w:r>
      <w:r w:rsidR="00B32E2D">
        <w:t xml:space="preserve">. </w:t>
      </w:r>
    </w:p>
    <w:p w14:paraId="0CBC2464" w14:textId="77777777" w:rsidR="00984073" w:rsidRDefault="00984073" w:rsidP="00984073"/>
    <w:p w14:paraId="28CCD3D7" w14:textId="016772F8" w:rsidR="00984073" w:rsidRDefault="00984073" w:rsidP="00984073">
      <w:pPr>
        <w:rPr>
          <w:rFonts w:ascii="Cambria" w:hAnsi="Cambria" w:cs="Cambria"/>
          <w:color w:val="000000"/>
        </w:rPr>
      </w:pPr>
      <w:r>
        <w:rPr>
          <w:rFonts w:ascii="Cambria" w:hAnsi="Cambria" w:cs="Cambria"/>
          <w:color w:val="000000"/>
        </w:rPr>
        <w:t xml:space="preserve">Though the Gini is intuitively appealing because of its graphical depiction to those who understand the issues of cumulative distribution functions, it is not easily translatable to many people in terms of the underlying mathematics. Part of teaching a course in economic development is also training students in the skills to communicate an idea of a development outcome intuitively and quickly and the Gini </w:t>
      </w:r>
      <w:r w:rsidR="00016753">
        <w:rPr>
          <w:rFonts w:ascii="Cambria" w:hAnsi="Cambria" w:cs="Cambria"/>
          <w:color w:val="000000"/>
        </w:rPr>
        <w:t>index</w:t>
      </w:r>
      <w:r>
        <w:rPr>
          <w:rFonts w:ascii="Cambria" w:hAnsi="Cambria" w:cs="Cambria"/>
          <w:color w:val="000000"/>
        </w:rPr>
        <w:t xml:space="preserve"> is not amenable to this outcome. But, the Palma measure (named for Gabriel </w:t>
      </w:r>
      <w:r>
        <w:rPr>
          <w:rFonts w:ascii="Cambria" w:hAnsi="Cambria" w:cs="Cambria"/>
          <w:color w:val="000000"/>
        </w:rPr>
        <w:lastRenderedPageBreak/>
        <w:t>Palma</w:t>
      </w:r>
      <w:r w:rsidR="00B40A53">
        <w:rPr>
          <w:rFonts w:ascii="Cambria" w:hAnsi="Cambria" w:cs="Cambria"/>
          <w:color w:val="000000"/>
        </w:rPr>
        <w:t xml:space="preserve">’s work in Palma, </w:t>
      </w:r>
      <w:r w:rsidR="006A2D3C">
        <w:rPr>
          <w:rFonts w:ascii="Cambria" w:hAnsi="Cambria" w:cs="Cambria"/>
          <w:color w:val="000000"/>
        </w:rPr>
        <w:t>2011</w:t>
      </w:r>
      <w:r>
        <w:rPr>
          <w:rFonts w:ascii="Cambria" w:hAnsi="Cambria" w:cs="Cambria"/>
          <w:color w:val="000000"/>
        </w:rPr>
        <w:t xml:space="preserve">) is an intuitive measure of inequality for whichever outcome you wish to measure, i.e. wealth or income. </w:t>
      </w:r>
    </w:p>
    <w:p w14:paraId="54E7ABD5" w14:textId="77777777" w:rsidR="00984073" w:rsidRPr="00F40B22" w:rsidRDefault="00984073" w:rsidP="00984073">
      <w:pPr>
        <w:rPr>
          <w:rFonts w:ascii="Cambria" w:hAnsi="Cambria" w:cs="Cambria"/>
          <w:color w:val="000000"/>
        </w:rPr>
      </w:pPr>
      <m:oMathPara>
        <m:oMathParaPr>
          <m:jc m:val="center"/>
        </m:oMathParaPr>
        <m:oMath>
          <m:r>
            <w:rPr>
              <w:rFonts w:ascii="Cambria Math" w:hAnsi="Cambria Math" w:cs="Cambria"/>
              <w:color w:val="000000"/>
            </w:rPr>
            <m:t>P=</m:t>
          </m:r>
          <m:f>
            <m:fPr>
              <m:ctrlPr>
                <w:rPr>
                  <w:rFonts w:ascii="Cambria Math" w:hAnsi="Cambria Math" w:cs="Cambria"/>
                  <w:i/>
                  <w:color w:val="000000"/>
                </w:rPr>
              </m:ctrlPr>
            </m:fPr>
            <m:num>
              <m:sSub>
                <m:sSubPr>
                  <m:ctrlPr>
                    <w:rPr>
                      <w:rFonts w:ascii="Cambria Math" w:hAnsi="Cambria Math" w:cs="Cambria"/>
                      <w:i/>
                      <w:color w:val="000000"/>
                    </w:rPr>
                  </m:ctrlPr>
                </m:sSubPr>
                <m:e>
                  <m:r>
                    <w:rPr>
                      <w:rFonts w:ascii="Cambria Math" w:hAnsi="Cambria Math" w:cs="Cambria"/>
                      <w:color w:val="000000"/>
                    </w:rPr>
                    <m:t>Y</m:t>
                  </m:r>
                </m:e>
                <m:sub>
                  <m:r>
                    <w:rPr>
                      <w:rFonts w:ascii="Cambria Math" w:hAnsi="Cambria Math" w:cs="Cambria"/>
                      <w:color w:val="000000"/>
                    </w:rPr>
                    <m:t>10</m:t>
                  </m:r>
                </m:sub>
              </m:sSub>
            </m:num>
            <m:den>
              <m:nary>
                <m:naryPr>
                  <m:chr m:val="∑"/>
                  <m:limLoc m:val="undOvr"/>
                  <m:ctrlPr>
                    <w:rPr>
                      <w:rFonts w:ascii="Cambria Math" w:hAnsi="Cambria Math" w:cs="Cambria"/>
                      <w:i/>
                      <w:color w:val="000000"/>
                    </w:rPr>
                  </m:ctrlPr>
                </m:naryPr>
                <m:sub>
                  <m:r>
                    <w:rPr>
                      <w:rFonts w:ascii="Cambria Math" w:hAnsi="Cambria Math" w:cs="Cambria"/>
                      <w:color w:val="000000"/>
                    </w:rPr>
                    <m:t>i=1</m:t>
                  </m:r>
                </m:sub>
                <m:sup>
                  <m:r>
                    <w:rPr>
                      <w:rFonts w:ascii="Cambria Math" w:hAnsi="Cambria Math" w:cs="Cambria"/>
                      <w:color w:val="000000"/>
                    </w:rPr>
                    <m:t>4</m:t>
                  </m:r>
                </m:sup>
                <m:e>
                  <m:sSub>
                    <m:sSubPr>
                      <m:ctrlPr>
                        <w:rPr>
                          <w:rFonts w:ascii="Cambria Math" w:hAnsi="Cambria Math" w:cs="Cambria"/>
                          <w:i/>
                          <w:color w:val="000000"/>
                        </w:rPr>
                      </m:ctrlPr>
                    </m:sSubPr>
                    <m:e>
                      <m:r>
                        <w:rPr>
                          <w:rFonts w:ascii="Cambria Math" w:hAnsi="Cambria Math" w:cs="Cambria"/>
                          <w:color w:val="000000"/>
                        </w:rPr>
                        <m:t>Y</m:t>
                      </m:r>
                    </m:e>
                    <m:sub>
                      <m:r>
                        <w:rPr>
                          <w:rFonts w:ascii="Cambria Math" w:hAnsi="Cambria Math" w:cs="Cambria"/>
                          <w:color w:val="000000"/>
                        </w:rPr>
                        <m:t>i</m:t>
                      </m:r>
                    </m:sub>
                  </m:sSub>
                </m:e>
              </m:nary>
            </m:den>
          </m:f>
        </m:oMath>
      </m:oMathPara>
    </w:p>
    <w:p w14:paraId="56B7E438" w14:textId="77777777" w:rsidR="00984073" w:rsidRDefault="00984073" w:rsidP="00984073">
      <w:r>
        <w:t>Where incomes shares (divide by decile) are ranked from lowest (Y</w:t>
      </w:r>
      <w:r>
        <w:rPr>
          <w:vertAlign w:val="subscript"/>
        </w:rPr>
        <w:t>1</w:t>
      </w:r>
      <w:r>
        <w:t>) to highest (Y</w:t>
      </w:r>
      <w:r>
        <w:rPr>
          <w:vertAlign w:val="subscript"/>
        </w:rPr>
        <w:t>10</w:t>
      </w:r>
      <w:r>
        <w:t>) the Palma takes the income share of the top ten percent of the income distribution (Y</w:t>
      </w:r>
      <w:r>
        <w:rPr>
          <w:vertAlign w:val="subscript"/>
        </w:rPr>
        <w:t>10</w:t>
      </w:r>
      <w:r>
        <w:t>) and divides it by the income share of the bottom 40 percent of the income distribution (Y</w:t>
      </w:r>
      <w:r>
        <w:rPr>
          <w:vertAlign w:val="subscript"/>
        </w:rPr>
        <w:t>1</w:t>
      </w:r>
      <w:r>
        <w:t xml:space="preserve"> + Y</w:t>
      </w:r>
      <w:r>
        <w:rPr>
          <w:vertAlign w:val="subscript"/>
        </w:rPr>
        <w:t>2</w:t>
      </w:r>
      <w:r>
        <w:t xml:space="preserve"> + Y</w:t>
      </w:r>
      <w:r>
        <w:rPr>
          <w:vertAlign w:val="subscript"/>
        </w:rPr>
        <w:t xml:space="preserve">3 </w:t>
      </w:r>
      <w:r>
        <w:t>+ Y</w:t>
      </w:r>
      <w:r>
        <w:rPr>
          <w:vertAlign w:val="subscript"/>
        </w:rPr>
        <w:t>4</w:t>
      </w:r>
      <w:r>
        <w:t xml:space="preserve">).  Cobham and Sumner (2013a) show that the Palma ranges from 0.757 (Belarus in 1988) to 15.081 (Namibia in 1993) using the World Bank’s PovCal dataset. Cobham and Sumner argue that this measure captures the main insights of what people intuitively grasp when thinking about inequality and that it reflects the fact that the ‘middle 50%’ (income shares 5 through 9 in ten percent increments) has remained relatively stable over time. </w:t>
      </w:r>
    </w:p>
    <w:p w14:paraId="67BB0A03" w14:textId="77777777" w:rsidR="00984073" w:rsidRDefault="00984073" w:rsidP="00984073"/>
    <w:p w14:paraId="0D7C14D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284677"/>
          <w:sz w:val="32"/>
          <w:szCs w:val="32"/>
        </w:rPr>
      </w:pPr>
      <w:r>
        <w:rPr>
          <w:rFonts w:ascii="Calibri" w:hAnsi="Calibri" w:cs="Calibri"/>
          <w:b/>
          <w:bCs/>
          <w:color w:val="284677"/>
          <w:sz w:val="32"/>
          <w:szCs w:val="32"/>
        </w:rPr>
        <w:t>The Exercise</w:t>
      </w:r>
    </w:p>
    <w:p w14:paraId="6C3870B1" w14:textId="31150A52"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The course is a lower-level (post introductory microeconomics and macroeconomics) course in economic development that does not require students to have taken calculus or statistics. The course is taught at a small liberal arts college where the development economics elective will have anywhere from 20 to 55 students depending on enrollments in a given semester. In collaboration with the quantitative learning center at the college, students are able to attend workshops on how to use</w:t>
      </w:r>
      <w:r w:rsidR="00D13425">
        <w:rPr>
          <w:rFonts w:ascii="Cambria" w:hAnsi="Cambria" w:cs="Cambria"/>
          <w:color w:val="000000"/>
        </w:rPr>
        <w:t xml:space="preserve"> </w:t>
      </w:r>
      <w:r w:rsidR="00681720">
        <w:rPr>
          <w:rFonts w:ascii="Cambria" w:hAnsi="Cambria" w:cs="Cambria"/>
          <w:color w:val="000000"/>
        </w:rPr>
        <w:t xml:space="preserve">MS </w:t>
      </w:r>
      <w:r>
        <w:rPr>
          <w:rFonts w:ascii="Cambria" w:hAnsi="Cambria" w:cs="Cambria"/>
          <w:color w:val="000000"/>
        </w:rPr>
        <w:t xml:space="preserve">Excel and have access to a statistical consultant (though she was rarely used: she recorded two visits for this course). </w:t>
      </w:r>
    </w:p>
    <w:p w14:paraId="4C48286B"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07435CED" w14:textId="30327302"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Three main ideas: income, poverty and inequality using initial in-class exercises with ‘artificial economies’ then applying those skills to real-world data from an internationally recogni</w:t>
      </w:r>
      <w:r w:rsidR="00D13425">
        <w:rPr>
          <w:rFonts w:ascii="Cambria" w:hAnsi="Cambria" w:cs="Cambria"/>
          <w:color w:val="000000"/>
        </w:rPr>
        <w:t>zed panel data survey. We use one wave of the survey as a cross-sectional dataset</w:t>
      </w:r>
      <w:r>
        <w:rPr>
          <w:rFonts w:ascii="Cambria" w:hAnsi="Cambria" w:cs="Cambria"/>
          <w:color w:val="000000"/>
        </w:rPr>
        <w:t xml:space="preserve">. The data </w:t>
      </w:r>
      <w:r w:rsidR="00C35B20">
        <w:rPr>
          <w:rFonts w:ascii="Cambria" w:hAnsi="Cambria" w:cs="Cambria"/>
          <w:color w:val="000000"/>
        </w:rPr>
        <w:t xml:space="preserve">the students use </w:t>
      </w:r>
      <w:r>
        <w:rPr>
          <w:rFonts w:ascii="Cambria" w:hAnsi="Cambria" w:cs="Cambria"/>
          <w:color w:val="000000"/>
        </w:rPr>
        <w:t xml:space="preserve">are a subset of the original data that includes government transfers and remittance data. Students analyze the data in </w:t>
      </w:r>
      <w:r w:rsidR="00C35766">
        <w:rPr>
          <w:rFonts w:ascii="Cambria" w:hAnsi="Cambria" w:cs="Cambria"/>
          <w:color w:val="000000"/>
        </w:rPr>
        <w:t xml:space="preserve">MS </w:t>
      </w:r>
      <w:r>
        <w:rPr>
          <w:rFonts w:ascii="Cambria" w:hAnsi="Cambria" w:cs="Cambria"/>
          <w:color w:val="000000"/>
        </w:rPr>
        <w:t xml:space="preserve">Excel or Google Spreadsheets using the relevant formulas. </w:t>
      </w:r>
    </w:p>
    <w:p w14:paraId="3E50B196"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38B997E4" w14:textId="72246B88"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The artificial economies comprise ten ranked person-households (one person in each household) to provide a basic guideline for thinking about incomes, poverty and inequality. Let us start with thinking about income and consider the case of the economies presented in Table 1. The table presents the economies given to the students in the exercise. Groups of 3 to 5 students are each given an economy, corresponding to the rows in the table. The economies (A through J) comprise 10 people with incomes given by the columns (P1 to P10). Each economy has a total income ranging from 35 monetary units to 100 monetary units (numbers between 0 and 100 are used to ease student understanding, not for their relationship to reality). People (columns) in each economy have incomes ranging from 1 to 30 per day. </w:t>
      </w:r>
      <w:r w:rsidR="00EA49AC">
        <w:rPr>
          <w:rFonts w:ascii="Cambria" w:hAnsi="Cambria" w:cs="Cambria"/>
          <w:color w:val="000000"/>
        </w:rPr>
        <w:t>Ten</w:t>
      </w:r>
      <w:r>
        <w:rPr>
          <w:rFonts w:ascii="Cambria" w:hAnsi="Cambria" w:cs="Cambria"/>
          <w:color w:val="000000"/>
        </w:rPr>
        <w:t xml:space="preserve"> people are used because each person therefore corresponds to the idea of a decile, which is necessary for later computation of the Palma and Gini measures. </w:t>
      </w:r>
    </w:p>
    <w:p w14:paraId="4304DBD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2C72DB64" w14:textId="77777777" w:rsidR="00984073" w:rsidRDefault="00984073" w:rsidP="00984073">
      <w:pPr>
        <w:pStyle w:val="Heading2"/>
      </w:pPr>
      <w:r>
        <w:lastRenderedPageBreak/>
        <w:t xml:space="preserve">Income </w:t>
      </w:r>
    </w:p>
    <w:p w14:paraId="4D5750B6"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Students first compute the total daily income in the economy by summing each person’s daily income over the ten individuals. They then compute the per capita daily income by taking the total and dividing it by the total number of people in the economy (10). The per-capita incomes therefore range from 3.5 to 10. The relevance of computing per-capita income and </w:t>
      </w:r>
      <w:r>
        <w:rPr>
          <w:rFonts w:ascii="Cambria" w:hAnsi="Cambria" w:cs="Cambria"/>
          <w:i/>
          <w:color w:val="000000"/>
        </w:rPr>
        <w:t>how</w:t>
      </w:r>
      <w:r>
        <w:rPr>
          <w:rFonts w:ascii="Cambria" w:hAnsi="Cambria" w:cs="Cambria"/>
          <w:color w:val="000000"/>
        </w:rPr>
        <w:t xml:space="preserve"> per capita income is different to individual income is immediately apparent, an insight students sometimes fail to grasp when first thinking about GDP data in the abstract. Students do this task </w:t>
      </w:r>
      <w:r>
        <w:rPr>
          <w:rFonts w:ascii="Cambria" w:hAnsi="Cambria" w:cs="Cambria"/>
          <w:i/>
          <w:color w:val="000000"/>
        </w:rPr>
        <w:t>before</w:t>
      </w:r>
      <w:r>
        <w:rPr>
          <w:rFonts w:ascii="Cambria" w:hAnsi="Cambria" w:cs="Cambria"/>
          <w:color w:val="000000"/>
        </w:rPr>
        <w:t xml:space="preserve"> their class on poverty, typically at the end of a class on income and GDP to begin thinking about the exercise. </w:t>
      </w:r>
    </w:p>
    <w:p w14:paraId="29C0379A" w14:textId="77777777" w:rsidR="00984073" w:rsidRDefault="00984073" w:rsidP="00984073">
      <w:pPr>
        <w:pStyle w:val="Heading2"/>
      </w:pPr>
      <w:r>
        <w:t xml:space="preserve">Poverty </w:t>
      </w:r>
    </w:p>
    <w:p w14:paraId="4E21CE7C"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Having seen the income calculations in a previous class, students are then told that in each of the economies there are two poverty lines: $2 per person per day and $3 per person per day (these roughly correspond to the current $1.90 and $3.10 World Bank poverty lines). The purpose then becomes to illustrate four ideas encapsulating important student learning outcome</w:t>
      </w:r>
    </w:p>
    <w:p w14:paraId="01FB4617" w14:textId="77777777" w:rsidR="00984073" w:rsidRDefault="00984073" w:rsidP="0098407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The choice of poverty lines is crucial to understanding </w:t>
      </w:r>
      <w:r>
        <w:rPr>
          <w:rFonts w:ascii="Cambria" w:hAnsi="Cambria" w:cs="Cambria"/>
          <w:i/>
          <w:color w:val="000000"/>
        </w:rPr>
        <w:t>how much</w:t>
      </w:r>
      <w:r>
        <w:rPr>
          <w:rFonts w:ascii="Cambria" w:hAnsi="Cambria" w:cs="Cambria"/>
          <w:color w:val="000000"/>
        </w:rPr>
        <w:t xml:space="preserve"> poverty exists in an economy. </w:t>
      </w:r>
    </w:p>
    <w:p w14:paraId="1FBC8812" w14:textId="77777777" w:rsidR="00984073" w:rsidRDefault="00984073" w:rsidP="0098407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Two countries that have </w:t>
      </w:r>
      <w:r w:rsidRPr="004F42A9">
        <w:rPr>
          <w:rFonts w:ascii="Cambria" w:hAnsi="Cambria" w:cs="Cambria"/>
          <w:i/>
          <w:color w:val="000000"/>
        </w:rPr>
        <w:t>identical</w:t>
      </w:r>
      <w:r>
        <w:rPr>
          <w:rFonts w:ascii="Cambria" w:hAnsi="Cambria" w:cs="Cambria"/>
          <w:color w:val="000000"/>
        </w:rPr>
        <w:t xml:space="preserve"> income per capita (low or high) need not have identical rates of poverty. </w:t>
      </w:r>
    </w:p>
    <w:p w14:paraId="1EBCD85C" w14:textId="77777777" w:rsidR="00984073" w:rsidRDefault="00984073" w:rsidP="0098407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Countries with </w:t>
      </w:r>
      <w:r>
        <w:rPr>
          <w:rFonts w:ascii="Cambria" w:hAnsi="Cambria" w:cs="Cambria"/>
          <w:i/>
          <w:color w:val="000000"/>
        </w:rPr>
        <w:t xml:space="preserve">different </w:t>
      </w:r>
      <w:r>
        <w:rPr>
          <w:rFonts w:ascii="Cambria" w:hAnsi="Cambria" w:cs="Cambria"/>
          <w:color w:val="000000"/>
        </w:rPr>
        <w:t xml:space="preserve">income per capita (low vs. high) need not have </w:t>
      </w:r>
      <w:r>
        <w:rPr>
          <w:rFonts w:ascii="Cambria" w:hAnsi="Cambria" w:cs="Cambria"/>
          <w:i/>
          <w:color w:val="000000"/>
        </w:rPr>
        <w:t>different</w:t>
      </w:r>
      <w:r>
        <w:rPr>
          <w:rFonts w:ascii="Cambria" w:hAnsi="Cambria" w:cs="Cambria"/>
          <w:color w:val="000000"/>
        </w:rPr>
        <w:t xml:space="preserve"> rates of poverty. On the contrary, rates of poverty and income per capita may be unrelated. </w:t>
      </w:r>
    </w:p>
    <w:p w14:paraId="4DC50648" w14:textId="77777777" w:rsidR="00984073" w:rsidRPr="004F42A9" w:rsidRDefault="00984073" w:rsidP="0098407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Fiscal policy and redistribution of income can alleviate poverty. (I defer this to after a discussion of inequality). </w:t>
      </w:r>
    </w:p>
    <w:p w14:paraId="1A8ECF3A"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3B09A17"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To meet the first outcome, students first calculate the different poverty measures (head count ratio, poverty gap index, poverty gap-squared index) for each of the two poverty lines. A person who has income </w:t>
      </w:r>
      <w:r w:rsidRPr="006429D5">
        <w:rPr>
          <w:rFonts w:ascii="Cambria" w:hAnsi="Cambria" w:cs="Cambria"/>
          <w:i/>
          <w:color w:val="000000"/>
        </w:rPr>
        <w:t>y</w:t>
      </w:r>
      <w:r w:rsidRPr="006429D5">
        <w:rPr>
          <w:rFonts w:ascii="Cambria" w:hAnsi="Cambria" w:cs="Cambria"/>
          <w:i/>
          <w:color w:val="000000"/>
          <w:vertAlign w:val="subscript"/>
        </w:rPr>
        <w:t xml:space="preserve">i </w:t>
      </w:r>
      <w:r w:rsidRPr="006429D5">
        <w:rPr>
          <w:rFonts w:ascii="Cambria" w:hAnsi="Cambria" w:cs="Cambria"/>
          <w:i/>
          <w:color w:val="000000"/>
        </w:rPr>
        <w:t xml:space="preserve">= z </w:t>
      </w:r>
      <w:r>
        <w:rPr>
          <w:rFonts w:ascii="Cambria" w:hAnsi="Cambria" w:cs="Cambria"/>
          <w:color w:val="000000"/>
        </w:rPr>
        <w:t xml:space="preserve">is not considered poor. Students then check their calculations with other members of the class who have been allocated the same economy (A to J) and they engage in a think-pair-share exercise about their successes and failures in calculating the different poverty measures (the focus here is on the process of calculation and a growth mindset rather than the ‘correct’ answer; in the groups students have always managed to find the correct answer in assisting each other).  </w:t>
      </w:r>
    </w:p>
    <w:p w14:paraId="59146322"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E2BF613" w14:textId="6E520801"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To address the second outcome, students are </w:t>
      </w:r>
      <w:r>
        <w:rPr>
          <w:rFonts w:ascii="Cambria" w:hAnsi="Cambria" w:cs="Cambria"/>
          <w:i/>
          <w:color w:val="000000"/>
        </w:rPr>
        <w:t>paired</w:t>
      </w:r>
      <w:r>
        <w:rPr>
          <w:rFonts w:ascii="Cambria" w:hAnsi="Cambria" w:cs="Cambria"/>
          <w:color w:val="000000"/>
        </w:rPr>
        <w:t xml:space="preserve"> with other students who were given another country that has the </w:t>
      </w:r>
      <w:r>
        <w:rPr>
          <w:rFonts w:ascii="Cambria" w:hAnsi="Cambria" w:cs="Cambria"/>
          <w:i/>
          <w:color w:val="000000"/>
        </w:rPr>
        <w:t>same</w:t>
      </w:r>
      <w:r>
        <w:rPr>
          <w:rFonts w:ascii="Cambria" w:hAnsi="Cambria" w:cs="Cambria"/>
          <w:color w:val="000000"/>
        </w:rPr>
        <w:t xml:space="preserve"> income level in total daily income and per-capita terms. Though students often understand the abstract idea that different economies with similar incomes can have different rates of poverty, seeing ‘data’ for individuals in an economy and comparing economies with other people makes them realize that significant differences that can exist in income distributions and absolute deprivation across two economies. For example, as shown in Table 2, countries A and B both have the same incomes, but starkly differing rates of poverty at the two different poverty lines: A has an FGT(0) = 0.3 with a po</w:t>
      </w:r>
      <w:r w:rsidR="00350F80">
        <w:rPr>
          <w:rFonts w:ascii="Cambria" w:hAnsi="Cambria" w:cs="Cambria"/>
          <w:color w:val="000000"/>
        </w:rPr>
        <w:t xml:space="preserve">verty line of 2, </w:t>
      </w:r>
      <w:r w:rsidR="00350F80">
        <w:rPr>
          <w:rFonts w:ascii="Cambria" w:hAnsi="Cambria" w:cs="Cambria"/>
          <w:color w:val="000000"/>
        </w:rPr>
        <w:lastRenderedPageBreak/>
        <w:t>whereas at the</w:t>
      </w:r>
      <w:r>
        <w:rPr>
          <w:rFonts w:ascii="Cambria" w:hAnsi="Cambria" w:cs="Cambria"/>
          <w:color w:val="000000"/>
        </w:rPr>
        <w:t xml:space="preserve"> poverty line</w:t>
      </w:r>
      <w:r w:rsidR="00350F80">
        <w:rPr>
          <w:rFonts w:ascii="Cambria" w:hAnsi="Cambria" w:cs="Cambria"/>
          <w:color w:val="000000"/>
        </w:rPr>
        <w:t xml:space="preserve"> of z = 2,</w:t>
      </w:r>
      <w:r>
        <w:rPr>
          <w:rFonts w:ascii="Cambria" w:hAnsi="Cambria" w:cs="Cambria"/>
          <w:color w:val="000000"/>
        </w:rPr>
        <w:t xml:space="preserve"> B’s FGT(0) = 0. </w:t>
      </w:r>
    </w:p>
    <w:p w14:paraId="778C383A"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5955F6B0" w14:textId="3EEB55C6"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To address the third outcome, students are paired with students given other countries with </w:t>
      </w:r>
      <w:r>
        <w:rPr>
          <w:rFonts w:ascii="Cambria" w:hAnsi="Cambria" w:cs="Cambria"/>
          <w:i/>
          <w:color w:val="000000"/>
        </w:rPr>
        <w:t>different</w:t>
      </w:r>
      <w:r>
        <w:rPr>
          <w:rFonts w:ascii="Cambria" w:hAnsi="Cambria" w:cs="Cambria"/>
          <w:color w:val="000000"/>
        </w:rPr>
        <w:t xml:space="preserve"> incomes and asked to discuss the rates of poverty. Students immediately see that though a country’s per capita income may be lower (higher) than another country’s per-capita income, that does not imply that rates of poverty </w:t>
      </w:r>
      <w:r w:rsidR="00891DB7">
        <w:rPr>
          <w:rFonts w:ascii="Cambria" w:hAnsi="Cambria" w:cs="Cambria"/>
          <w:color w:val="000000"/>
        </w:rPr>
        <w:t>are higher (lower)</w:t>
      </w:r>
      <w:r>
        <w:rPr>
          <w:rFonts w:ascii="Cambria" w:hAnsi="Cambria" w:cs="Cambria"/>
          <w:color w:val="000000"/>
        </w:rPr>
        <w:t xml:space="preserve">. To be sure, students see that with ‘very low income’ countries (such as A and B in Table 1) there is likely to be higher poverty, but having higher income does not mean poverty does not exist in high-income countries (such as I or J). Students also identify that what produces these differences is the distribution of income or </w:t>
      </w:r>
      <w:r w:rsidRPr="00BE7D62">
        <w:rPr>
          <w:rFonts w:ascii="Cambria" w:hAnsi="Cambria" w:cs="Cambria"/>
          <w:color w:val="000000"/>
        </w:rPr>
        <w:t>inequality</w:t>
      </w:r>
      <w:r>
        <w:rPr>
          <w:rFonts w:ascii="Cambria" w:hAnsi="Cambria" w:cs="Cambria"/>
          <w:color w:val="000000"/>
        </w:rPr>
        <w:t xml:space="preserve">, such that even though some countries have higher average income, incomes may be unequally distributed such that there are high levels of poverty. </w:t>
      </w:r>
    </w:p>
    <w:p w14:paraId="51E5B440"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tbl>
      <w:tblPr>
        <w:tblpPr w:leftFromText="180" w:rightFromText="180" w:vertAnchor="text" w:tblpXSpec="center" w:tblpY="1"/>
        <w:tblOverlap w:val="never"/>
        <w:tblW w:w="6028" w:type="dxa"/>
        <w:tblLook w:val="04A0" w:firstRow="1" w:lastRow="0" w:firstColumn="1" w:lastColumn="0" w:noHBand="0" w:noVBand="1"/>
      </w:tblPr>
      <w:tblGrid>
        <w:gridCol w:w="866"/>
        <w:gridCol w:w="421"/>
        <w:gridCol w:w="421"/>
        <w:gridCol w:w="421"/>
        <w:gridCol w:w="421"/>
        <w:gridCol w:w="421"/>
        <w:gridCol w:w="421"/>
        <w:gridCol w:w="438"/>
        <w:gridCol w:w="438"/>
        <w:gridCol w:w="438"/>
        <w:gridCol w:w="536"/>
        <w:gridCol w:w="596"/>
        <w:gridCol w:w="836"/>
      </w:tblGrid>
      <w:tr w:rsidR="00984073" w:rsidRPr="00C14F4C" w14:paraId="2AA011A4" w14:textId="77777777" w:rsidTr="00C33685">
        <w:trPr>
          <w:trHeight w:val="300"/>
        </w:trPr>
        <w:tc>
          <w:tcPr>
            <w:tcW w:w="316" w:type="dxa"/>
            <w:tcBorders>
              <w:top w:val="nil"/>
              <w:left w:val="nil"/>
              <w:bottom w:val="single" w:sz="4" w:space="0" w:color="auto"/>
              <w:right w:val="single" w:sz="4" w:space="0" w:color="auto"/>
            </w:tcBorders>
            <w:shd w:val="clear" w:color="auto" w:fill="auto"/>
            <w:noWrap/>
            <w:vAlign w:val="bottom"/>
            <w:hideMark/>
          </w:tcPr>
          <w:p w14:paraId="7440CDD1" w14:textId="77777777" w:rsidR="00984073" w:rsidRDefault="00984073" w:rsidP="00C3368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Person/</w:t>
            </w:r>
          </w:p>
          <w:p w14:paraId="7524D192" w14:textId="77777777" w:rsidR="00984073" w:rsidRPr="00C14F4C" w:rsidRDefault="00984073" w:rsidP="00C3368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Country</w:t>
            </w:r>
          </w:p>
        </w:tc>
        <w:tc>
          <w:tcPr>
            <w:tcW w:w="416" w:type="dxa"/>
            <w:tcBorders>
              <w:top w:val="nil"/>
              <w:left w:val="single" w:sz="4" w:space="0" w:color="auto"/>
              <w:bottom w:val="single" w:sz="4" w:space="0" w:color="auto"/>
            </w:tcBorders>
            <w:shd w:val="clear" w:color="auto" w:fill="auto"/>
            <w:noWrap/>
            <w:vAlign w:val="bottom"/>
            <w:hideMark/>
          </w:tcPr>
          <w:p w14:paraId="2088B79E"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P1</w:t>
            </w:r>
          </w:p>
          <w:p w14:paraId="37F8D954"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60B63671"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P2</w:t>
            </w:r>
          </w:p>
          <w:p w14:paraId="49537F77"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234DE015"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P3</w:t>
            </w:r>
          </w:p>
          <w:p w14:paraId="7D9A5606"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24E32090"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P4</w:t>
            </w:r>
          </w:p>
          <w:p w14:paraId="3864FBDF"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151F5F66"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P5</w:t>
            </w:r>
          </w:p>
          <w:p w14:paraId="6F9B872C"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3C9D88E3"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P6</w:t>
            </w:r>
          </w:p>
          <w:p w14:paraId="02994782"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4D58EDF0"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P7</w:t>
            </w:r>
          </w:p>
          <w:p w14:paraId="67ACF45E"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7127A55E"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P8</w:t>
            </w:r>
          </w:p>
          <w:p w14:paraId="19000495" w14:textId="77777777" w:rsidR="00984073" w:rsidRPr="00C14F4C" w:rsidRDefault="00984073" w:rsidP="00C33685">
            <w:pPr>
              <w:rPr>
                <w:rFonts w:ascii="Calibri" w:eastAsia="Times New Roman" w:hAnsi="Calibri" w:cs="Times New Roman"/>
                <w:color w:val="000000"/>
                <w:sz w:val="20"/>
                <w:szCs w:val="20"/>
              </w:rPr>
            </w:pPr>
          </w:p>
        </w:tc>
        <w:tc>
          <w:tcPr>
            <w:tcW w:w="416" w:type="dxa"/>
            <w:tcBorders>
              <w:top w:val="nil"/>
              <w:bottom w:val="single" w:sz="4" w:space="0" w:color="auto"/>
            </w:tcBorders>
            <w:shd w:val="clear" w:color="auto" w:fill="auto"/>
            <w:noWrap/>
            <w:vAlign w:val="bottom"/>
            <w:hideMark/>
          </w:tcPr>
          <w:p w14:paraId="30BC7E4E"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P9</w:t>
            </w:r>
          </w:p>
          <w:p w14:paraId="4A463653" w14:textId="77777777" w:rsidR="00984073" w:rsidRPr="00C14F4C" w:rsidRDefault="00984073" w:rsidP="00C33685">
            <w:pPr>
              <w:rPr>
                <w:rFonts w:ascii="Calibri" w:eastAsia="Times New Roman" w:hAnsi="Calibri" w:cs="Times New Roman"/>
                <w:color w:val="000000"/>
                <w:sz w:val="20"/>
                <w:szCs w:val="20"/>
              </w:rPr>
            </w:pPr>
          </w:p>
        </w:tc>
        <w:tc>
          <w:tcPr>
            <w:tcW w:w="536" w:type="dxa"/>
            <w:tcBorders>
              <w:top w:val="nil"/>
              <w:bottom w:val="single" w:sz="4" w:space="0" w:color="auto"/>
            </w:tcBorders>
            <w:shd w:val="clear" w:color="auto" w:fill="auto"/>
            <w:noWrap/>
            <w:vAlign w:val="bottom"/>
            <w:hideMark/>
          </w:tcPr>
          <w:p w14:paraId="029EECA4"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P10</w:t>
            </w:r>
          </w:p>
          <w:p w14:paraId="25E904EE" w14:textId="77777777" w:rsidR="00984073" w:rsidRPr="00C14F4C" w:rsidRDefault="00984073" w:rsidP="00C33685">
            <w:pPr>
              <w:rPr>
                <w:rFonts w:ascii="Calibri" w:eastAsia="Times New Roman" w:hAnsi="Calibri" w:cs="Times New Roman"/>
                <w:color w:val="000000"/>
                <w:sz w:val="20"/>
                <w:szCs w:val="20"/>
              </w:rPr>
            </w:pPr>
          </w:p>
        </w:tc>
        <w:tc>
          <w:tcPr>
            <w:tcW w:w="596" w:type="dxa"/>
            <w:tcBorders>
              <w:top w:val="nil"/>
              <w:bottom w:val="single" w:sz="4" w:space="0" w:color="auto"/>
            </w:tcBorders>
            <w:shd w:val="clear" w:color="auto" w:fill="auto"/>
            <w:noWrap/>
            <w:vAlign w:val="bottom"/>
            <w:hideMark/>
          </w:tcPr>
          <w:p w14:paraId="776EDE86"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GDP</w:t>
            </w:r>
          </w:p>
          <w:p w14:paraId="735BB722" w14:textId="77777777" w:rsidR="00984073" w:rsidRPr="00C14F4C" w:rsidRDefault="00984073" w:rsidP="00C33685">
            <w:pPr>
              <w:rPr>
                <w:rFonts w:ascii="Calibri" w:eastAsia="Times New Roman" w:hAnsi="Calibri" w:cs="Times New Roman"/>
                <w:color w:val="000000"/>
                <w:sz w:val="20"/>
                <w:szCs w:val="20"/>
              </w:rPr>
            </w:pPr>
          </w:p>
        </w:tc>
        <w:tc>
          <w:tcPr>
            <w:tcW w:w="836" w:type="dxa"/>
            <w:tcBorders>
              <w:top w:val="nil"/>
              <w:bottom w:val="single" w:sz="4" w:space="0" w:color="auto"/>
              <w:right w:val="nil"/>
            </w:tcBorders>
            <w:shd w:val="clear" w:color="auto" w:fill="auto"/>
            <w:noWrap/>
            <w:vAlign w:val="bottom"/>
            <w:hideMark/>
          </w:tcPr>
          <w:p w14:paraId="208D8851" w14:textId="77777777" w:rsidR="00984073"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PCGDP</w:t>
            </w:r>
          </w:p>
          <w:p w14:paraId="70B353BB" w14:textId="77777777" w:rsidR="00984073" w:rsidRPr="00C14F4C" w:rsidRDefault="00984073" w:rsidP="00C33685">
            <w:pPr>
              <w:rPr>
                <w:rFonts w:ascii="Calibri" w:eastAsia="Times New Roman" w:hAnsi="Calibri" w:cs="Times New Roman"/>
                <w:color w:val="000000"/>
                <w:sz w:val="20"/>
                <w:szCs w:val="20"/>
              </w:rPr>
            </w:pPr>
          </w:p>
        </w:tc>
      </w:tr>
      <w:tr w:rsidR="00984073" w:rsidRPr="00C14F4C" w14:paraId="012FEB92" w14:textId="77777777" w:rsidTr="00C33685">
        <w:trPr>
          <w:trHeight w:val="300"/>
        </w:trPr>
        <w:tc>
          <w:tcPr>
            <w:tcW w:w="316" w:type="dxa"/>
            <w:tcBorders>
              <w:top w:val="single" w:sz="4" w:space="0" w:color="auto"/>
              <w:left w:val="nil"/>
              <w:bottom w:val="nil"/>
              <w:right w:val="single" w:sz="4" w:space="0" w:color="auto"/>
            </w:tcBorders>
            <w:shd w:val="clear" w:color="auto" w:fill="auto"/>
            <w:noWrap/>
            <w:vAlign w:val="bottom"/>
            <w:hideMark/>
          </w:tcPr>
          <w:p w14:paraId="59D178D9"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A</w:t>
            </w:r>
          </w:p>
        </w:tc>
        <w:tc>
          <w:tcPr>
            <w:tcW w:w="416" w:type="dxa"/>
            <w:tcBorders>
              <w:top w:val="single" w:sz="4" w:space="0" w:color="auto"/>
              <w:left w:val="single" w:sz="4" w:space="0" w:color="auto"/>
              <w:bottom w:val="nil"/>
              <w:right w:val="nil"/>
            </w:tcBorders>
            <w:shd w:val="clear" w:color="auto" w:fill="auto"/>
            <w:vAlign w:val="center"/>
            <w:hideMark/>
          </w:tcPr>
          <w:p w14:paraId="5416067B"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single" w:sz="4" w:space="0" w:color="auto"/>
              <w:left w:val="nil"/>
              <w:bottom w:val="nil"/>
              <w:right w:val="nil"/>
            </w:tcBorders>
            <w:shd w:val="clear" w:color="auto" w:fill="auto"/>
            <w:vAlign w:val="center"/>
            <w:hideMark/>
          </w:tcPr>
          <w:p w14:paraId="6C037ADE"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single" w:sz="4" w:space="0" w:color="auto"/>
              <w:left w:val="nil"/>
              <w:bottom w:val="nil"/>
              <w:right w:val="nil"/>
            </w:tcBorders>
            <w:shd w:val="clear" w:color="auto" w:fill="auto"/>
            <w:vAlign w:val="center"/>
            <w:hideMark/>
          </w:tcPr>
          <w:p w14:paraId="5C8D7CD9"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single" w:sz="4" w:space="0" w:color="auto"/>
              <w:left w:val="nil"/>
              <w:bottom w:val="nil"/>
              <w:right w:val="nil"/>
            </w:tcBorders>
            <w:shd w:val="clear" w:color="auto" w:fill="auto"/>
            <w:vAlign w:val="center"/>
            <w:hideMark/>
          </w:tcPr>
          <w:p w14:paraId="3AFB87BE"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single" w:sz="4" w:space="0" w:color="auto"/>
              <w:left w:val="nil"/>
              <w:bottom w:val="nil"/>
              <w:right w:val="nil"/>
            </w:tcBorders>
            <w:shd w:val="clear" w:color="auto" w:fill="auto"/>
            <w:vAlign w:val="center"/>
            <w:hideMark/>
          </w:tcPr>
          <w:p w14:paraId="5E9367F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single" w:sz="4" w:space="0" w:color="auto"/>
              <w:left w:val="nil"/>
              <w:bottom w:val="nil"/>
              <w:right w:val="nil"/>
            </w:tcBorders>
            <w:shd w:val="clear" w:color="auto" w:fill="auto"/>
            <w:vAlign w:val="center"/>
            <w:hideMark/>
          </w:tcPr>
          <w:p w14:paraId="5808C77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single" w:sz="4" w:space="0" w:color="auto"/>
              <w:left w:val="nil"/>
              <w:bottom w:val="nil"/>
              <w:right w:val="nil"/>
            </w:tcBorders>
            <w:shd w:val="clear" w:color="auto" w:fill="auto"/>
            <w:vAlign w:val="center"/>
            <w:hideMark/>
          </w:tcPr>
          <w:p w14:paraId="63DA3FA2"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single" w:sz="4" w:space="0" w:color="auto"/>
              <w:left w:val="nil"/>
              <w:bottom w:val="nil"/>
              <w:right w:val="nil"/>
            </w:tcBorders>
            <w:shd w:val="clear" w:color="auto" w:fill="auto"/>
            <w:vAlign w:val="center"/>
            <w:hideMark/>
          </w:tcPr>
          <w:p w14:paraId="46C8044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5</w:t>
            </w:r>
          </w:p>
        </w:tc>
        <w:tc>
          <w:tcPr>
            <w:tcW w:w="416" w:type="dxa"/>
            <w:tcBorders>
              <w:top w:val="single" w:sz="4" w:space="0" w:color="auto"/>
              <w:left w:val="nil"/>
              <w:bottom w:val="nil"/>
              <w:right w:val="nil"/>
            </w:tcBorders>
            <w:shd w:val="clear" w:color="auto" w:fill="auto"/>
            <w:vAlign w:val="center"/>
            <w:hideMark/>
          </w:tcPr>
          <w:p w14:paraId="02596DF1"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6</w:t>
            </w:r>
          </w:p>
        </w:tc>
        <w:tc>
          <w:tcPr>
            <w:tcW w:w="536" w:type="dxa"/>
            <w:tcBorders>
              <w:top w:val="single" w:sz="4" w:space="0" w:color="auto"/>
              <w:left w:val="nil"/>
              <w:bottom w:val="nil"/>
              <w:right w:val="nil"/>
            </w:tcBorders>
            <w:shd w:val="clear" w:color="auto" w:fill="auto"/>
            <w:vAlign w:val="center"/>
            <w:hideMark/>
          </w:tcPr>
          <w:p w14:paraId="3BDB6EF9"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10</w:t>
            </w:r>
          </w:p>
        </w:tc>
        <w:tc>
          <w:tcPr>
            <w:tcW w:w="596" w:type="dxa"/>
            <w:tcBorders>
              <w:top w:val="single" w:sz="4" w:space="0" w:color="auto"/>
              <w:left w:val="nil"/>
              <w:bottom w:val="nil"/>
              <w:right w:val="nil"/>
            </w:tcBorders>
            <w:shd w:val="clear" w:color="auto" w:fill="auto"/>
            <w:noWrap/>
            <w:vAlign w:val="bottom"/>
            <w:hideMark/>
          </w:tcPr>
          <w:p w14:paraId="6C3D17AE"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35</w:t>
            </w:r>
          </w:p>
        </w:tc>
        <w:tc>
          <w:tcPr>
            <w:tcW w:w="836" w:type="dxa"/>
            <w:tcBorders>
              <w:top w:val="single" w:sz="4" w:space="0" w:color="auto"/>
              <w:left w:val="nil"/>
              <w:bottom w:val="nil"/>
              <w:right w:val="nil"/>
            </w:tcBorders>
            <w:shd w:val="clear" w:color="auto" w:fill="auto"/>
            <w:noWrap/>
            <w:vAlign w:val="bottom"/>
            <w:hideMark/>
          </w:tcPr>
          <w:p w14:paraId="7EC25B27"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3.5</w:t>
            </w:r>
          </w:p>
        </w:tc>
      </w:tr>
      <w:tr w:rsidR="00984073" w:rsidRPr="00C14F4C" w14:paraId="03AB4599"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266CF205"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B</w:t>
            </w:r>
          </w:p>
        </w:tc>
        <w:tc>
          <w:tcPr>
            <w:tcW w:w="416" w:type="dxa"/>
            <w:tcBorders>
              <w:top w:val="nil"/>
              <w:left w:val="single" w:sz="4" w:space="0" w:color="auto"/>
              <w:bottom w:val="nil"/>
              <w:right w:val="nil"/>
            </w:tcBorders>
            <w:shd w:val="clear" w:color="auto" w:fill="auto"/>
            <w:vAlign w:val="center"/>
            <w:hideMark/>
          </w:tcPr>
          <w:p w14:paraId="3C8D6337"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1723F93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5A1C154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026A543D"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442E682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435E584B"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156E019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384027F2"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5</w:t>
            </w:r>
          </w:p>
        </w:tc>
        <w:tc>
          <w:tcPr>
            <w:tcW w:w="416" w:type="dxa"/>
            <w:tcBorders>
              <w:top w:val="nil"/>
              <w:left w:val="nil"/>
              <w:bottom w:val="nil"/>
              <w:right w:val="nil"/>
            </w:tcBorders>
            <w:shd w:val="clear" w:color="auto" w:fill="auto"/>
            <w:vAlign w:val="center"/>
            <w:hideMark/>
          </w:tcPr>
          <w:p w14:paraId="10492ED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6</w:t>
            </w:r>
          </w:p>
        </w:tc>
        <w:tc>
          <w:tcPr>
            <w:tcW w:w="536" w:type="dxa"/>
            <w:tcBorders>
              <w:top w:val="nil"/>
              <w:left w:val="nil"/>
              <w:bottom w:val="nil"/>
              <w:right w:val="nil"/>
            </w:tcBorders>
            <w:shd w:val="clear" w:color="auto" w:fill="auto"/>
            <w:vAlign w:val="center"/>
            <w:hideMark/>
          </w:tcPr>
          <w:p w14:paraId="6296528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8</w:t>
            </w:r>
          </w:p>
        </w:tc>
        <w:tc>
          <w:tcPr>
            <w:tcW w:w="596" w:type="dxa"/>
            <w:tcBorders>
              <w:top w:val="nil"/>
              <w:left w:val="nil"/>
              <w:bottom w:val="nil"/>
              <w:right w:val="nil"/>
            </w:tcBorders>
            <w:shd w:val="clear" w:color="auto" w:fill="auto"/>
            <w:noWrap/>
            <w:vAlign w:val="bottom"/>
            <w:hideMark/>
          </w:tcPr>
          <w:p w14:paraId="3BE90B3D"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35</w:t>
            </w:r>
          </w:p>
        </w:tc>
        <w:tc>
          <w:tcPr>
            <w:tcW w:w="836" w:type="dxa"/>
            <w:tcBorders>
              <w:top w:val="nil"/>
              <w:left w:val="nil"/>
              <w:bottom w:val="nil"/>
              <w:right w:val="nil"/>
            </w:tcBorders>
            <w:shd w:val="clear" w:color="auto" w:fill="auto"/>
            <w:noWrap/>
            <w:vAlign w:val="bottom"/>
            <w:hideMark/>
          </w:tcPr>
          <w:p w14:paraId="76610936"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3.5</w:t>
            </w:r>
          </w:p>
        </w:tc>
      </w:tr>
      <w:tr w:rsidR="00984073" w:rsidRPr="00C14F4C" w14:paraId="5667CB57"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5C999E20"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C</w:t>
            </w:r>
          </w:p>
        </w:tc>
        <w:tc>
          <w:tcPr>
            <w:tcW w:w="416" w:type="dxa"/>
            <w:tcBorders>
              <w:top w:val="nil"/>
              <w:left w:val="single" w:sz="4" w:space="0" w:color="auto"/>
              <w:bottom w:val="nil"/>
              <w:right w:val="nil"/>
            </w:tcBorders>
            <w:shd w:val="clear" w:color="auto" w:fill="auto"/>
            <w:vAlign w:val="center"/>
            <w:hideMark/>
          </w:tcPr>
          <w:p w14:paraId="0C541D8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11FD66BD"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415B17F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5EB2EDC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11594BC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29BCF2A0"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50B4BC17"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40A0A1A3"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10</w:t>
            </w:r>
          </w:p>
        </w:tc>
        <w:tc>
          <w:tcPr>
            <w:tcW w:w="416" w:type="dxa"/>
            <w:tcBorders>
              <w:top w:val="nil"/>
              <w:left w:val="nil"/>
              <w:bottom w:val="nil"/>
              <w:right w:val="nil"/>
            </w:tcBorders>
            <w:shd w:val="clear" w:color="auto" w:fill="auto"/>
            <w:vAlign w:val="center"/>
            <w:hideMark/>
          </w:tcPr>
          <w:p w14:paraId="6D65B78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12</w:t>
            </w:r>
          </w:p>
        </w:tc>
        <w:tc>
          <w:tcPr>
            <w:tcW w:w="536" w:type="dxa"/>
            <w:tcBorders>
              <w:top w:val="nil"/>
              <w:left w:val="nil"/>
              <w:bottom w:val="nil"/>
              <w:right w:val="nil"/>
            </w:tcBorders>
            <w:shd w:val="clear" w:color="auto" w:fill="auto"/>
            <w:vAlign w:val="center"/>
            <w:hideMark/>
          </w:tcPr>
          <w:p w14:paraId="723F145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18</w:t>
            </w:r>
          </w:p>
        </w:tc>
        <w:tc>
          <w:tcPr>
            <w:tcW w:w="596" w:type="dxa"/>
            <w:tcBorders>
              <w:top w:val="nil"/>
              <w:left w:val="nil"/>
              <w:bottom w:val="nil"/>
              <w:right w:val="nil"/>
            </w:tcBorders>
            <w:shd w:val="clear" w:color="auto" w:fill="auto"/>
            <w:noWrap/>
            <w:vAlign w:val="bottom"/>
            <w:hideMark/>
          </w:tcPr>
          <w:p w14:paraId="78FCBE32"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50</w:t>
            </w:r>
          </w:p>
        </w:tc>
        <w:tc>
          <w:tcPr>
            <w:tcW w:w="836" w:type="dxa"/>
            <w:tcBorders>
              <w:top w:val="nil"/>
              <w:left w:val="nil"/>
              <w:bottom w:val="nil"/>
              <w:right w:val="nil"/>
            </w:tcBorders>
            <w:shd w:val="clear" w:color="auto" w:fill="auto"/>
            <w:noWrap/>
            <w:vAlign w:val="bottom"/>
            <w:hideMark/>
          </w:tcPr>
          <w:p w14:paraId="13198DF6"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5</w:t>
            </w:r>
          </w:p>
        </w:tc>
      </w:tr>
      <w:tr w:rsidR="00984073" w:rsidRPr="00C14F4C" w14:paraId="4EF090F5"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66F0B28D"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D</w:t>
            </w:r>
          </w:p>
        </w:tc>
        <w:tc>
          <w:tcPr>
            <w:tcW w:w="416" w:type="dxa"/>
            <w:tcBorders>
              <w:top w:val="nil"/>
              <w:left w:val="single" w:sz="4" w:space="0" w:color="auto"/>
              <w:bottom w:val="nil"/>
              <w:right w:val="nil"/>
            </w:tcBorders>
            <w:shd w:val="clear" w:color="auto" w:fill="auto"/>
            <w:vAlign w:val="center"/>
            <w:hideMark/>
          </w:tcPr>
          <w:p w14:paraId="3AFEC54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5AE330D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58D6D36C"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4479AC1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0ACC416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58F6E69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12F8E93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72181CA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8</w:t>
            </w:r>
          </w:p>
        </w:tc>
        <w:tc>
          <w:tcPr>
            <w:tcW w:w="416" w:type="dxa"/>
            <w:tcBorders>
              <w:top w:val="nil"/>
              <w:left w:val="nil"/>
              <w:bottom w:val="nil"/>
              <w:right w:val="nil"/>
            </w:tcBorders>
            <w:shd w:val="clear" w:color="auto" w:fill="auto"/>
            <w:vAlign w:val="center"/>
            <w:hideMark/>
          </w:tcPr>
          <w:p w14:paraId="2210108E"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10</w:t>
            </w:r>
          </w:p>
        </w:tc>
        <w:tc>
          <w:tcPr>
            <w:tcW w:w="536" w:type="dxa"/>
            <w:tcBorders>
              <w:top w:val="nil"/>
              <w:left w:val="nil"/>
              <w:bottom w:val="nil"/>
              <w:right w:val="nil"/>
            </w:tcBorders>
            <w:shd w:val="clear" w:color="auto" w:fill="auto"/>
            <w:vAlign w:val="center"/>
            <w:hideMark/>
          </w:tcPr>
          <w:p w14:paraId="5D57E1FD"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12</w:t>
            </w:r>
          </w:p>
        </w:tc>
        <w:tc>
          <w:tcPr>
            <w:tcW w:w="596" w:type="dxa"/>
            <w:tcBorders>
              <w:top w:val="nil"/>
              <w:left w:val="nil"/>
              <w:bottom w:val="nil"/>
              <w:right w:val="nil"/>
            </w:tcBorders>
            <w:shd w:val="clear" w:color="auto" w:fill="auto"/>
            <w:noWrap/>
            <w:vAlign w:val="bottom"/>
            <w:hideMark/>
          </w:tcPr>
          <w:p w14:paraId="0F858EEA"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50</w:t>
            </w:r>
          </w:p>
        </w:tc>
        <w:tc>
          <w:tcPr>
            <w:tcW w:w="836" w:type="dxa"/>
            <w:tcBorders>
              <w:top w:val="nil"/>
              <w:left w:val="nil"/>
              <w:bottom w:val="nil"/>
              <w:right w:val="nil"/>
            </w:tcBorders>
            <w:shd w:val="clear" w:color="auto" w:fill="auto"/>
            <w:noWrap/>
            <w:vAlign w:val="bottom"/>
            <w:hideMark/>
          </w:tcPr>
          <w:p w14:paraId="11C85EFB"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5</w:t>
            </w:r>
          </w:p>
        </w:tc>
      </w:tr>
      <w:tr w:rsidR="00984073" w:rsidRPr="00C14F4C" w14:paraId="5EB6C346"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7DF5F5AB"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E</w:t>
            </w:r>
          </w:p>
        </w:tc>
        <w:tc>
          <w:tcPr>
            <w:tcW w:w="416" w:type="dxa"/>
            <w:tcBorders>
              <w:top w:val="nil"/>
              <w:left w:val="single" w:sz="4" w:space="0" w:color="auto"/>
              <w:bottom w:val="nil"/>
              <w:right w:val="nil"/>
            </w:tcBorders>
            <w:shd w:val="clear" w:color="auto" w:fill="auto"/>
            <w:vAlign w:val="center"/>
            <w:hideMark/>
          </w:tcPr>
          <w:p w14:paraId="5FDEAC30"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7C808C12"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6A8A7830"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5D31A7C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54FE24B4"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6</w:t>
            </w:r>
          </w:p>
        </w:tc>
        <w:tc>
          <w:tcPr>
            <w:tcW w:w="416" w:type="dxa"/>
            <w:tcBorders>
              <w:top w:val="nil"/>
              <w:left w:val="nil"/>
              <w:bottom w:val="nil"/>
              <w:right w:val="nil"/>
            </w:tcBorders>
            <w:shd w:val="clear" w:color="auto" w:fill="auto"/>
            <w:vAlign w:val="center"/>
            <w:hideMark/>
          </w:tcPr>
          <w:p w14:paraId="34D2FC10"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6</w:t>
            </w:r>
          </w:p>
        </w:tc>
        <w:tc>
          <w:tcPr>
            <w:tcW w:w="416" w:type="dxa"/>
            <w:tcBorders>
              <w:top w:val="nil"/>
              <w:left w:val="nil"/>
              <w:bottom w:val="nil"/>
              <w:right w:val="nil"/>
            </w:tcBorders>
            <w:shd w:val="clear" w:color="auto" w:fill="auto"/>
            <w:vAlign w:val="center"/>
            <w:hideMark/>
          </w:tcPr>
          <w:p w14:paraId="1D1CB02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9</w:t>
            </w:r>
          </w:p>
        </w:tc>
        <w:tc>
          <w:tcPr>
            <w:tcW w:w="416" w:type="dxa"/>
            <w:tcBorders>
              <w:top w:val="nil"/>
              <w:left w:val="nil"/>
              <w:bottom w:val="nil"/>
              <w:right w:val="nil"/>
            </w:tcBorders>
            <w:shd w:val="clear" w:color="auto" w:fill="auto"/>
            <w:vAlign w:val="center"/>
            <w:hideMark/>
          </w:tcPr>
          <w:p w14:paraId="709EA6CD"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10</w:t>
            </w:r>
          </w:p>
        </w:tc>
        <w:tc>
          <w:tcPr>
            <w:tcW w:w="416" w:type="dxa"/>
            <w:tcBorders>
              <w:top w:val="nil"/>
              <w:left w:val="nil"/>
              <w:bottom w:val="nil"/>
              <w:right w:val="nil"/>
            </w:tcBorders>
            <w:shd w:val="clear" w:color="auto" w:fill="auto"/>
            <w:vAlign w:val="center"/>
            <w:hideMark/>
          </w:tcPr>
          <w:p w14:paraId="1171F020"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15</w:t>
            </w:r>
          </w:p>
        </w:tc>
        <w:tc>
          <w:tcPr>
            <w:tcW w:w="536" w:type="dxa"/>
            <w:tcBorders>
              <w:top w:val="nil"/>
              <w:left w:val="nil"/>
              <w:bottom w:val="nil"/>
              <w:right w:val="nil"/>
            </w:tcBorders>
            <w:shd w:val="clear" w:color="auto" w:fill="auto"/>
            <w:vAlign w:val="center"/>
            <w:hideMark/>
          </w:tcPr>
          <w:p w14:paraId="5B15B39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20</w:t>
            </w:r>
          </w:p>
        </w:tc>
        <w:tc>
          <w:tcPr>
            <w:tcW w:w="596" w:type="dxa"/>
            <w:tcBorders>
              <w:top w:val="nil"/>
              <w:left w:val="nil"/>
              <w:bottom w:val="nil"/>
              <w:right w:val="nil"/>
            </w:tcBorders>
            <w:shd w:val="clear" w:color="auto" w:fill="auto"/>
            <w:noWrap/>
            <w:vAlign w:val="bottom"/>
            <w:hideMark/>
          </w:tcPr>
          <w:p w14:paraId="6A97C25B"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70</w:t>
            </w:r>
          </w:p>
        </w:tc>
        <w:tc>
          <w:tcPr>
            <w:tcW w:w="836" w:type="dxa"/>
            <w:tcBorders>
              <w:top w:val="nil"/>
              <w:left w:val="nil"/>
              <w:bottom w:val="nil"/>
              <w:right w:val="nil"/>
            </w:tcBorders>
            <w:shd w:val="clear" w:color="auto" w:fill="auto"/>
            <w:noWrap/>
            <w:vAlign w:val="bottom"/>
            <w:hideMark/>
          </w:tcPr>
          <w:p w14:paraId="5B080BBA"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7</w:t>
            </w:r>
          </w:p>
        </w:tc>
      </w:tr>
      <w:tr w:rsidR="00984073" w:rsidRPr="00C14F4C" w14:paraId="3EEF16FD"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246E3311"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F</w:t>
            </w:r>
          </w:p>
        </w:tc>
        <w:tc>
          <w:tcPr>
            <w:tcW w:w="416" w:type="dxa"/>
            <w:tcBorders>
              <w:top w:val="nil"/>
              <w:left w:val="single" w:sz="4" w:space="0" w:color="auto"/>
              <w:bottom w:val="nil"/>
              <w:right w:val="nil"/>
            </w:tcBorders>
            <w:shd w:val="clear" w:color="auto" w:fill="auto"/>
            <w:vAlign w:val="center"/>
            <w:hideMark/>
          </w:tcPr>
          <w:p w14:paraId="32A9D67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38954B0E"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526D17ED"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3E3BAFA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12CE30E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0B36A6D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4AAC7F2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5</w:t>
            </w:r>
          </w:p>
        </w:tc>
        <w:tc>
          <w:tcPr>
            <w:tcW w:w="416" w:type="dxa"/>
            <w:tcBorders>
              <w:top w:val="nil"/>
              <w:left w:val="nil"/>
              <w:bottom w:val="nil"/>
              <w:right w:val="nil"/>
            </w:tcBorders>
            <w:shd w:val="clear" w:color="auto" w:fill="auto"/>
            <w:vAlign w:val="center"/>
            <w:hideMark/>
          </w:tcPr>
          <w:p w14:paraId="569688E1"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6</w:t>
            </w:r>
          </w:p>
        </w:tc>
        <w:tc>
          <w:tcPr>
            <w:tcW w:w="416" w:type="dxa"/>
            <w:tcBorders>
              <w:top w:val="nil"/>
              <w:left w:val="nil"/>
              <w:bottom w:val="nil"/>
              <w:right w:val="nil"/>
            </w:tcBorders>
            <w:shd w:val="clear" w:color="auto" w:fill="auto"/>
            <w:vAlign w:val="center"/>
            <w:hideMark/>
          </w:tcPr>
          <w:p w14:paraId="680E02CB"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9</w:t>
            </w:r>
          </w:p>
        </w:tc>
        <w:tc>
          <w:tcPr>
            <w:tcW w:w="536" w:type="dxa"/>
            <w:tcBorders>
              <w:top w:val="nil"/>
              <w:left w:val="nil"/>
              <w:bottom w:val="nil"/>
              <w:right w:val="nil"/>
            </w:tcBorders>
            <w:shd w:val="clear" w:color="auto" w:fill="auto"/>
            <w:vAlign w:val="center"/>
            <w:hideMark/>
          </w:tcPr>
          <w:p w14:paraId="7C8E0487"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30</w:t>
            </w:r>
          </w:p>
        </w:tc>
        <w:tc>
          <w:tcPr>
            <w:tcW w:w="596" w:type="dxa"/>
            <w:tcBorders>
              <w:top w:val="nil"/>
              <w:left w:val="nil"/>
              <w:bottom w:val="nil"/>
              <w:right w:val="nil"/>
            </w:tcBorders>
            <w:shd w:val="clear" w:color="auto" w:fill="auto"/>
            <w:noWrap/>
            <w:vAlign w:val="bottom"/>
            <w:hideMark/>
          </w:tcPr>
          <w:p w14:paraId="6F50A6A0"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70</w:t>
            </w:r>
          </w:p>
        </w:tc>
        <w:tc>
          <w:tcPr>
            <w:tcW w:w="836" w:type="dxa"/>
            <w:tcBorders>
              <w:top w:val="nil"/>
              <w:left w:val="nil"/>
              <w:bottom w:val="nil"/>
              <w:right w:val="nil"/>
            </w:tcBorders>
            <w:shd w:val="clear" w:color="auto" w:fill="auto"/>
            <w:noWrap/>
            <w:vAlign w:val="bottom"/>
            <w:hideMark/>
          </w:tcPr>
          <w:p w14:paraId="0415446F"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7</w:t>
            </w:r>
          </w:p>
        </w:tc>
      </w:tr>
      <w:tr w:rsidR="00984073" w:rsidRPr="00C14F4C" w14:paraId="52E477E6"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7551B861"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G</w:t>
            </w:r>
          </w:p>
        </w:tc>
        <w:tc>
          <w:tcPr>
            <w:tcW w:w="416" w:type="dxa"/>
            <w:tcBorders>
              <w:top w:val="nil"/>
              <w:left w:val="single" w:sz="4" w:space="0" w:color="auto"/>
              <w:bottom w:val="nil"/>
              <w:right w:val="nil"/>
            </w:tcBorders>
            <w:shd w:val="clear" w:color="auto" w:fill="auto"/>
            <w:vAlign w:val="center"/>
            <w:hideMark/>
          </w:tcPr>
          <w:p w14:paraId="5B1B649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44EEB85E"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1523BAE1"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16C4FD3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1E32F8A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2479F80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4</w:t>
            </w:r>
          </w:p>
        </w:tc>
        <w:tc>
          <w:tcPr>
            <w:tcW w:w="416" w:type="dxa"/>
            <w:tcBorders>
              <w:top w:val="nil"/>
              <w:left w:val="nil"/>
              <w:bottom w:val="nil"/>
              <w:right w:val="nil"/>
            </w:tcBorders>
            <w:shd w:val="clear" w:color="auto" w:fill="auto"/>
            <w:vAlign w:val="center"/>
            <w:hideMark/>
          </w:tcPr>
          <w:p w14:paraId="762E25AC"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6</w:t>
            </w:r>
          </w:p>
        </w:tc>
        <w:tc>
          <w:tcPr>
            <w:tcW w:w="416" w:type="dxa"/>
            <w:tcBorders>
              <w:top w:val="nil"/>
              <w:left w:val="nil"/>
              <w:bottom w:val="nil"/>
              <w:right w:val="nil"/>
            </w:tcBorders>
            <w:shd w:val="clear" w:color="auto" w:fill="auto"/>
            <w:vAlign w:val="center"/>
            <w:hideMark/>
          </w:tcPr>
          <w:p w14:paraId="63682999"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12</w:t>
            </w:r>
          </w:p>
        </w:tc>
        <w:tc>
          <w:tcPr>
            <w:tcW w:w="416" w:type="dxa"/>
            <w:tcBorders>
              <w:top w:val="nil"/>
              <w:left w:val="nil"/>
              <w:bottom w:val="nil"/>
              <w:right w:val="nil"/>
            </w:tcBorders>
            <w:shd w:val="clear" w:color="auto" w:fill="auto"/>
            <w:vAlign w:val="center"/>
            <w:hideMark/>
          </w:tcPr>
          <w:p w14:paraId="2E10C500"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20</w:t>
            </w:r>
          </w:p>
        </w:tc>
        <w:tc>
          <w:tcPr>
            <w:tcW w:w="536" w:type="dxa"/>
            <w:tcBorders>
              <w:top w:val="nil"/>
              <w:left w:val="nil"/>
              <w:bottom w:val="nil"/>
              <w:right w:val="nil"/>
            </w:tcBorders>
            <w:shd w:val="clear" w:color="auto" w:fill="auto"/>
            <w:vAlign w:val="center"/>
            <w:hideMark/>
          </w:tcPr>
          <w:p w14:paraId="5462527D"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30</w:t>
            </w:r>
          </w:p>
        </w:tc>
        <w:tc>
          <w:tcPr>
            <w:tcW w:w="596" w:type="dxa"/>
            <w:tcBorders>
              <w:top w:val="nil"/>
              <w:left w:val="nil"/>
              <w:bottom w:val="nil"/>
              <w:right w:val="nil"/>
            </w:tcBorders>
            <w:shd w:val="clear" w:color="auto" w:fill="auto"/>
            <w:noWrap/>
            <w:vAlign w:val="bottom"/>
            <w:hideMark/>
          </w:tcPr>
          <w:p w14:paraId="5B0355CF"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85</w:t>
            </w:r>
          </w:p>
        </w:tc>
        <w:tc>
          <w:tcPr>
            <w:tcW w:w="836" w:type="dxa"/>
            <w:tcBorders>
              <w:top w:val="nil"/>
              <w:left w:val="nil"/>
              <w:bottom w:val="nil"/>
              <w:right w:val="nil"/>
            </w:tcBorders>
            <w:shd w:val="clear" w:color="auto" w:fill="auto"/>
            <w:noWrap/>
            <w:vAlign w:val="bottom"/>
            <w:hideMark/>
          </w:tcPr>
          <w:p w14:paraId="29FFBC38"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8.5</w:t>
            </w:r>
          </w:p>
        </w:tc>
      </w:tr>
      <w:tr w:rsidR="00984073" w:rsidRPr="00C14F4C" w14:paraId="30D2E12F"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21D89E4E"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H</w:t>
            </w:r>
          </w:p>
        </w:tc>
        <w:tc>
          <w:tcPr>
            <w:tcW w:w="416" w:type="dxa"/>
            <w:tcBorders>
              <w:top w:val="nil"/>
              <w:left w:val="single" w:sz="4" w:space="0" w:color="auto"/>
              <w:bottom w:val="nil"/>
              <w:right w:val="nil"/>
            </w:tcBorders>
            <w:shd w:val="clear" w:color="auto" w:fill="auto"/>
            <w:vAlign w:val="center"/>
            <w:hideMark/>
          </w:tcPr>
          <w:p w14:paraId="0E3DD17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7499350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3494C209"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5</w:t>
            </w:r>
          </w:p>
        </w:tc>
        <w:tc>
          <w:tcPr>
            <w:tcW w:w="416" w:type="dxa"/>
            <w:tcBorders>
              <w:top w:val="nil"/>
              <w:left w:val="nil"/>
              <w:bottom w:val="nil"/>
              <w:right w:val="nil"/>
            </w:tcBorders>
            <w:shd w:val="clear" w:color="auto" w:fill="auto"/>
            <w:vAlign w:val="center"/>
            <w:hideMark/>
          </w:tcPr>
          <w:p w14:paraId="49E4A16B"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5</w:t>
            </w:r>
          </w:p>
        </w:tc>
        <w:tc>
          <w:tcPr>
            <w:tcW w:w="416" w:type="dxa"/>
            <w:tcBorders>
              <w:top w:val="nil"/>
              <w:left w:val="nil"/>
              <w:bottom w:val="nil"/>
              <w:right w:val="nil"/>
            </w:tcBorders>
            <w:shd w:val="clear" w:color="auto" w:fill="auto"/>
            <w:vAlign w:val="center"/>
            <w:hideMark/>
          </w:tcPr>
          <w:p w14:paraId="63117104"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8</w:t>
            </w:r>
          </w:p>
        </w:tc>
        <w:tc>
          <w:tcPr>
            <w:tcW w:w="416" w:type="dxa"/>
            <w:tcBorders>
              <w:top w:val="nil"/>
              <w:left w:val="nil"/>
              <w:bottom w:val="nil"/>
              <w:right w:val="nil"/>
            </w:tcBorders>
            <w:shd w:val="clear" w:color="auto" w:fill="auto"/>
            <w:vAlign w:val="center"/>
            <w:hideMark/>
          </w:tcPr>
          <w:p w14:paraId="2F299CEB"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9</w:t>
            </w:r>
          </w:p>
        </w:tc>
        <w:tc>
          <w:tcPr>
            <w:tcW w:w="416" w:type="dxa"/>
            <w:tcBorders>
              <w:top w:val="nil"/>
              <w:left w:val="nil"/>
              <w:bottom w:val="nil"/>
              <w:right w:val="nil"/>
            </w:tcBorders>
            <w:shd w:val="clear" w:color="auto" w:fill="auto"/>
            <w:vAlign w:val="center"/>
            <w:hideMark/>
          </w:tcPr>
          <w:p w14:paraId="6A759D83"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10</w:t>
            </w:r>
          </w:p>
        </w:tc>
        <w:tc>
          <w:tcPr>
            <w:tcW w:w="416" w:type="dxa"/>
            <w:tcBorders>
              <w:top w:val="nil"/>
              <w:left w:val="nil"/>
              <w:bottom w:val="nil"/>
              <w:right w:val="nil"/>
            </w:tcBorders>
            <w:shd w:val="clear" w:color="auto" w:fill="auto"/>
            <w:vAlign w:val="center"/>
            <w:hideMark/>
          </w:tcPr>
          <w:p w14:paraId="3D28A8F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12</w:t>
            </w:r>
          </w:p>
        </w:tc>
        <w:tc>
          <w:tcPr>
            <w:tcW w:w="416" w:type="dxa"/>
            <w:tcBorders>
              <w:top w:val="nil"/>
              <w:left w:val="nil"/>
              <w:bottom w:val="nil"/>
              <w:right w:val="nil"/>
            </w:tcBorders>
            <w:shd w:val="clear" w:color="auto" w:fill="auto"/>
            <w:vAlign w:val="center"/>
            <w:hideMark/>
          </w:tcPr>
          <w:p w14:paraId="5BE8028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16</w:t>
            </w:r>
          </w:p>
        </w:tc>
        <w:tc>
          <w:tcPr>
            <w:tcW w:w="536" w:type="dxa"/>
            <w:tcBorders>
              <w:top w:val="nil"/>
              <w:left w:val="nil"/>
              <w:bottom w:val="nil"/>
              <w:right w:val="nil"/>
            </w:tcBorders>
            <w:shd w:val="clear" w:color="auto" w:fill="auto"/>
            <w:vAlign w:val="center"/>
            <w:hideMark/>
          </w:tcPr>
          <w:p w14:paraId="6EB597E2"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18</w:t>
            </w:r>
          </w:p>
        </w:tc>
        <w:tc>
          <w:tcPr>
            <w:tcW w:w="596" w:type="dxa"/>
            <w:tcBorders>
              <w:top w:val="nil"/>
              <w:left w:val="nil"/>
              <w:bottom w:val="nil"/>
              <w:right w:val="nil"/>
            </w:tcBorders>
            <w:shd w:val="clear" w:color="auto" w:fill="auto"/>
            <w:noWrap/>
            <w:vAlign w:val="bottom"/>
            <w:hideMark/>
          </w:tcPr>
          <w:p w14:paraId="4790A4B3"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85</w:t>
            </w:r>
          </w:p>
        </w:tc>
        <w:tc>
          <w:tcPr>
            <w:tcW w:w="836" w:type="dxa"/>
            <w:tcBorders>
              <w:top w:val="nil"/>
              <w:left w:val="nil"/>
              <w:bottom w:val="nil"/>
              <w:right w:val="nil"/>
            </w:tcBorders>
            <w:shd w:val="clear" w:color="auto" w:fill="auto"/>
            <w:noWrap/>
            <w:vAlign w:val="bottom"/>
            <w:hideMark/>
          </w:tcPr>
          <w:p w14:paraId="130B3A93"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8.5</w:t>
            </w:r>
          </w:p>
        </w:tc>
      </w:tr>
      <w:tr w:rsidR="00984073" w:rsidRPr="00C14F4C" w14:paraId="4C76F407"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2515A25D"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I</w:t>
            </w:r>
          </w:p>
        </w:tc>
        <w:tc>
          <w:tcPr>
            <w:tcW w:w="416" w:type="dxa"/>
            <w:tcBorders>
              <w:top w:val="nil"/>
              <w:left w:val="single" w:sz="4" w:space="0" w:color="auto"/>
              <w:bottom w:val="nil"/>
              <w:right w:val="nil"/>
            </w:tcBorders>
            <w:shd w:val="clear" w:color="auto" w:fill="auto"/>
            <w:vAlign w:val="center"/>
            <w:hideMark/>
          </w:tcPr>
          <w:p w14:paraId="4A029EE7"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6196EAF1"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75C01662"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w:t>
            </w:r>
          </w:p>
        </w:tc>
        <w:tc>
          <w:tcPr>
            <w:tcW w:w="416" w:type="dxa"/>
            <w:tcBorders>
              <w:top w:val="nil"/>
              <w:left w:val="nil"/>
              <w:bottom w:val="nil"/>
              <w:right w:val="nil"/>
            </w:tcBorders>
            <w:shd w:val="clear" w:color="auto" w:fill="auto"/>
            <w:vAlign w:val="center"/>
            <w:hideMark/>
          </w:tcPr>
          <w:p w14:paraId="6527B0F3"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5</w:t>
            </w:r>
          </w:p>
        </w:tc>
        <w:tc>
          <w:tcPr>
            <w:tcW w:w="416" w:type="dxa"/>
            <w:tcBorders>
              <w:top w:val="nil"/>
              <w:left w:val="nil"/>
              <w:bottom w:val="nil"/>
              <w:right w:val="nil"/>
            </w:tcBorders>
            <w:shd w:val="clear" w:color="auto" w:fill="auto"/>
            <w:vAlign w:val="center"/>
            <w:hideMark/>
          </w:tcPr>
          <w:p w14:paraId="3EBC4427"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7</w:t>
            </w:r>
          </w:p>
        </w:tc>
        <w:tc>
          <w:tcPr>
            <w:tcW w:w="416" w:type="dxa"/>
            <w:tcBorders>
              <w:top w:val="nil"/>
              <w:left w:val="nil"/>
              <w:bottom w:val="nil"/>
              <w:right w:val="nil"/>
            </w:tcBorders>
            <w:shd w:val="clear" w:color="auto" w:fill="auto"/>
            <w:vAlign w:val="center"/>
            <w:hideMark/>
          </w:tcPr>
          <w:p w14:paraId="578F58E5"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9</w:t>
            </w:r>
          </w:p>
        </w:tc>
        <w:tc>
          <w:tcPr>
            <w:tcW w:w="416" w:type="dxa"/>
            <w:tcBorders>
              <w:top w:val="nil"/>
              <w:left w:val="nil"/>
              <w:bottom w:val="nil"/>
              <w:right w:val="nil"/>
            </w:tcBorders>
            <w:shd w:val="clear" w:color="auto" w:fill="auto"/>
            <w:vAlign w:val="center"/>
            <w:hideMark/>
          </w:tcPr>
          <w:p w14:paraId="3152230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13</w:t>
            </w:r>
          </w:p>
        </w:tc>
        <w:tc>
          <w:tcPr>
            <w:tcW w:w="416" w:type="dxa"/>
            <w:tcBorders>
              <w:top w:val="nil"/>
              <w:left w:val="nil"/>
              <w:bottom w:val="nil"/>
              <w:right w:val="nil"/>
            </w:tcBorders>
            <w:shd w:val="clear" w:color="auto" w:fill="auto"/>
            <w:vAlign w:val="center"/>
            <w:hideMark/>
          </w:tcPr>
          <w:p w14:paraId="3716BB94"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15</w:t>
            </w:r>
          </w:p>
        </w:tc>
        <w:tc>
          <w:tcPr>
            <w:tcW w:w="416" w:type="dxa"/>
            <w:tcBorders>
              <w:top w:val="nil"/>
              <w:left w:val="nil"/>
              <w:bottom w:val="nil"/>
              <w:right w:val="nil"/>
            </w:tcBorders>
            <w:shd w:val="clear" w:color="auto" w:fill="auto"/>
            <w:vAlign w:val="center"/>
            <w:hideMark/>
          </w:tcPr>
          <w:p w14:paraId="7E26F627"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18</w:t>
            </w:r>
          </w:p>
        </w:tc>
        <w:tc>
          <w:tcPr>
            <w:tcW w:w="536" w:type="dxa"/>
            <w:tcBorders>
              <w:top w:val="nil"/>
              <w:left w:val="nil"/>
              <w:bottom w:val="nil"/>
              <w:right w:val="nil"/>
            </w:tcBorders>
            <w:shd w:val="clear" w:color="auto" w:fill="auto"/>
            <w:vAlign w:val="center"/>
            <w:hideMark/>
          </w:tcPr>
          <w:p w14:paraId="37BE2AC2"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26</w:t>
            </w:r>
          </w:p>
        </w:tc>
        <w:tc>
          <w:tcPr>
            <w:tcW w:w="596" w:type="dxa"/>
            <w:tcBorders>
              <w:top w:val="nil"/>
              <w:left w:val="nil"/>
              <w:bottom w:val="nil"/>
              <w:right w:val="nil"/>
            </w:tcBorders>
            <w:shd w:val="clear" w:color="auto" w:fill="auto"/>
            <w:noWrap/>
            <w:vAlign w:val="bottom"/>
            <w:hideMark/>
          </w:tcPr>
          <w:p w14:paraId="157B203B"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100</w:t>
            </w:r>
          </w:p>
        </w:tc>
        <w:tc>
          <w:tcPr>
            <w:tcW w:w="836" w:type="dxa"/>
            <w:tcBorders>
              <w:top w:val="nil"/>
              <w:left w:val="nil"/>
              <w:bottom w:val="nil"/>
              <w:right w:val="nil"/>
            </w:tcBorders>
            <w:shd w:val="clear" w:color="auto" w:fill="auto"/>
            <w:noWrap/>
            <w:vAlign w:val="bottom"/>
            <w:hideMark/>
          </w:tcPr>
          <w:p w14:paraId="2F90436A"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10</w:t>
            </w:r>
          </w:p>
        </w:tc>
      </w:tr>
      <w:tr w:rsidR="00984073" w:rsidRPr="00C14F4C" w14:paraId="6D840A91" w14:textId="77777777" w:rsidTr="00C33685">
        <w:trPr>
          <w:trHeight w:val="300"/>
        </w:trPr>
        <w:tc>
          <w:tcPr>
            <w:tcW w:w="316" w:type="dxa"/>
            <w:tcBorders>
              <w:top w:val="nil"/>
              <w:left w:val="nil"/>
              <w:bottom w:val="nil"/>
              <w:right w:val="single" w:sz="4" w:space="0" w:color="auto"/>
            </w:tcBorders>
            <w:shd w:val="clear" w:color="auto" w:fill="auto"/>
            <w:noWrap/>
            <w:vAlign w:val="bottom"/>
            <w:hideMark/>
          </w:tcPr>
          <w:p w14:paraId="0A7C8511" w14:textId="77777777" w:rsidR="00984073" w:rsidRPr="00C14F4C" w:rsidRDefault="00984073" w:rsidP="00C33685">
            <w:pPr>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J</w:t>
            </w:r>
          </w:p>
        </w:tc>
        <w:tc>
          <w:tcPr>
            <w:tcW w:w="416" w:type="dxa"/>
            <w:tcBorders>
              <w:top w:val="nil"/>
              <w:left w:val="single" w:sz="4" w:space="0" w:color="auto"/>
              <w:bottom w:val="nil"/>
              <w:right w:val="nil"/>
            </w:tcBorders>
            <w:shd w:val="clear" w:color="auto" w:fill="auto"/>
            <w:vAlign w:val="center"/>
            <w:hideMark/>
          </w:tcPr>
          <w:p w14:paraId="66098C74"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175E2F9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w:t>
            </w:r>
          </w:p>
        </w:tc>
        <w:tc>
          <w:tcPr>
            <w:tcW w:w="416" w:type="dxa"/>
            <w:tcBorders>
              <w:top w:val="nil"/>
              <w:left w:val="nil"/>
              <w:bottom w:val="nil"/>
              <w:right w:val="nil"/>
            </w:tcBorders>
            <w:shd w:val="clear" w:color="auto" w:fill="auto"/>
            <w:vAlign w:val="center"/>
            <w:hideMark/>
          </w:tcPr>
          <w:p w14:paraId="1354411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2252FB82"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2</w:t>
            </w:r>
          </w:p>
        </w:tc>
        <w:tc>
          <w:tcPr>
            <w:tcW w:w="416" w:type="dxa"/>
            <w:tcBorders>
              <w:top w:val="nil"/>
              <w:left w:val="nil"/>
              <w:bottom w:val="nil"/>
              <w:right w:val="nil"/>
            </w:tcBorders>
            <w:shd w:val="clear" w:color="auto" w:fill="auto"/>
            <w:vAlign w:val="center"/>
            <w:hideMark/>
          </w:tcPr>
          <w:p w14:paraId="64877B5F"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8</w:t>
            </w:r>
          </w:p>
        </w:tc>
        <w:tc>
          <w:tcPr>
            <w:tcW w:w="416" w:type="dxa"/>
            <w:tcBorders>
              <w:top w:val="nil"/>
              <w:left w:val="nil"/>
              <w:bottom w:val="nil"/>
              <w:right w:val="nil"/>
            </w:tcBorders>
            <w:shd w:val="clear" w:color="auto" w:fill="auto"/>
            <w:vAlign w:val="center"/>
            <w:hideMark/>
          </w:tcPr>
          <w:p w14:paraId="3C94E0DA"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8</w:t>
            </w:r>
          </w:p>
        </w:tc>
        <w:tc>
          <w:tcPr>
            <w:tcW w:w="416" w:type="dxa"/>
            <w:tcBorders>
              <w:top w:val="nil"/>
              <w:left w:val="nil"/>
              <w:bottom w:val="nil"/>
              <w:right w:val="nil"/>
            </w:tcBorders>
            <w:shd w:val="clear" w:color="auto" w:fill="auto"/>
            <w:vAlign w:val="center"/>
            <w:hideMark/>
          </w:tcPr>
          <w:p w14:paraId="3682CFE8"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14</w:t>
            </w:r>
          </w:p>
        </w:tc>
        <w:tc>
          <w:tcPr>
            <w:tcW w:w="416" w:type="dxa"/>
            <w:tcBorders>
              <w:top w:val="nil"/>
              <w:left w:val="nil"/>
              <w:bottom w:val="nil"/>
              <w:right w:val="nil"/>
            </w:tcBorders>
            <w:shd w:val="clear" w:color="auto" w:fill="auto"/>
            <w:vAlign w:val="center"/>
            <w:hideMark/>
          </w:tcPr>
          <w:p w14:paraId="536EC069"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15</w:t>
            </w:r>
          </w:p>
        </w:tc>
        <w:tc>
          <w:tcPr>
            <w:tcW w:w="416" w:type="dxa"/>
            <w:tcBorders>
              <w:top w:val="nil"/>
              <w:left w:val="nil"/>
              <w:bottom w:val="nil"/>
              <w:right w:val="nil"/>
            </w:tcBorders>
            <w:shd w:val="clear" w:color="auto" w:fill="auto"/>
            <w:vAlign w:val="center"/>
            <w:hideMark/>
          </w:tcPr>
          <w:p w14:paraId="5AD860C6"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19</w:t>
            </w:r>
          </w:p>
        </w:tc>
        <w:tc>
          <w:tcPr>
            <w:tcW w:w="536" w:type="dxa"/>
            <w:tcBorders>
              <w:top w:val="nil"/>
              <w:left w:val="nil"/>
              <w:bottom w:val="nil"/>
              <w:right w:val="nil"/>
            </w:tcBorders>
            <w:shd w:val="clear" w:color="auto" w:fill="auto"/>
            <w:vAlign w:val="center"/>
            <w:hideMark/>
          </w:tcPr>
          <w:p w14:paraId="3A056399" w14:textId="77777777" w:rsidR="00984073" w:rsidRPr="00C14F4C" w:rsidRDefault="00984073" w:rsidP="00C33685">
            <w:pPr>
              <w:jc w:val="center"/>
              <w:rPr>
                <w:rFonts w:ascii="Cambria" w:eastAsia="Times New Roman" w:hAnsi="Cambria" w:cs="Times New Roman"/>
                <w:color w:val="000000"/>
                <w:sz w:val="20"/>
                <w:szCs w:val="20"/>
              </w:rPr>
            </w:pPr>
            <w:r w:rsidRPr="00C14F4C">
              <w:rPr>
                <w:rFonts w:ascii="Cambria" w:eastAsia="Times New Roman" w:hAnsi="Cambria" w:cs="Times New Roman"/>
                <w:color w:val="000000"/>
                <w:sz w:val="20"/>
                <w:szCs w:val="20"/>
              </w:rPr>
              <w:t>30</w:t>
            </w:r>
          </w:p>
        </w:tc>
        <w:tc>
          <w:tcPr>
            <w:tcW w:w="596" w:type="dxa"/>
            <w:tcBorders>
              <w:top w:val="nil"/>
              <w:left w:val="nil"/>
              <w:bottom w:val="nil"/>
              <w:right w:val="nil"/>
            </w:tcBorders>
            <w:shd w:val="clear" w:color="auto" w:fill="auto"/>
            <w:noWrap/>
            <w:vAlign w:val="bottom"/>
            <w:hideMark/>
          </w:tcPr>
          <w:p w14:paraId="7BCAABFC"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100</w:t>
            </w:r>
          </w:p>
        </w:tc>
        <w:tc>
          <w:tcPr>
            <w:tcW w:w="836" w:type="dxa"/>
            <w:tcBorders>
              <w:top w:val="nil"/>
              <w:left w:val="nil"/>
              <w:bottom w:val="nil"/>
              <w:right w:val="nil"/>
            </w:tcBorders>
            <w:shd w:val="clear" w:color="auto" w:fill="auto"/>
            <w:noWrap/>
            <w:vAlign w:val="bottom"/>
            <w:hideMark/>
          </w:tcPr>
          <w:p w14:paraId="2934E6B9" w14:textId="77777777" w:rsidR="00984073" w:rsidRPr="00C14F4C" w:rsidRDefault="00984073" w:rsidP="00C33685">
            <w:pPr>
              <w:jc w:val="right"/>
              <w:rPr>
                <w:rFonts w:ascii="Calibri" w:eastAsia="Times New Roman" w:hAnsi="Calibri" w:cs="Times New Roman"/>
                <w:color w:val="000000"/>
                <w:sz w:val="20"/>
                <w:szCs w:val="20"/>
              </w:rPr>
            </w:pPr>
            <w:r w:rsidRPr="00C14F4C">
              <w:rPr>
                <w:rFonts w:ascii="Calibri" w:eastAsia="Times New Roman" w:hAnsi="Calibri" w:cs="Times New Roman"/>
                <w:color w:val="000000"/>
                <w:sz w:val="20"/>
                <w:szCs w:val="20"/>
              </w:rPr>
              <w:t>10</w:t>
            </w:r>
          </w:p>
        </w:tc>
      </w:tr>
    </w:tbl>
    <w:p w14:paraId="7D9641D3" w14:textId="44C7589E" w:rsidR="00984073" w:rsidRDefault="00C33685" w:rsidP="00984073">
      <w:pPr>
        <w:pStyle w:val="Caption"/>
        <w:rPr>
          <w:b w:val="0"/>
          <w:color w:val="auto"/>
        </w:rPr>
      </w:pPr>
      <w:r>
        <w:rPr>
          <w:b w:val="0"/>
          <w:color w:val="auto"/>
        </w:rPr>
        <w:br w:type="textWrapping" w:clear="all"/>
      </w:r>
      <w:r w:rsidR="00984073" w:rsidRPr="00BD6470">
        <w:rPr>
          <w:b w:val="0"/>
          <w:color w:val="auto"/>
        </w:rPr>
        <w:t xml:space="preserve">Table </w:t>
      </w:r>
      <w:r w:rsidR="00984073" w:rsidRPr="00BD6470">
        <w:rPr>
          <w:b w:val="0"/>
          <w:color w:val="auto"/>
        </w:rPr>
        <w:fldChar w:fldCharType="begin"/>
      </w:r>
      <w:r w:rsidR="00984073" w:rsidRPr="00BD6470">
        <w:rPr>
          <w:b w:val="0"/>
          <w:color w:val="auto"/>
        </w:rPr>
        <w:instrText xml:space="preserve"> SEQ Table \* ARABIC </w:instrText>
      </w:r>
      <w:r w:rsidR="00984073" w:rsidRPr="00BD6470">
        <w:rPr>
          <w:b w:val="0"/>
          <w:color w:val="auto"/>
        </w:rPr>
        <w:fldChar w:fldCharType="separate"/>
      </w:r>
      <w:r w:rsidR="00C22CD5">
        <w:rPr>
          <w:b w:val="0"/>
          <w:noProof/>
          <w:color w:val="auto"/>
        </w:rPr>
        <w:t>1</w:t>
      </w:r>
      <w:r w:rsidR="00984073" w:rsidRPr="00BD6470">
        <w:rPr>
          <w:b w:val="0"/>
          <w:color w:val="auto"/>
        </w:rPr>
        <w:fldChar w:fldCharType="end"/>
      </w:r>
      <w:r w:rsidR="00984073" w:rsidRPr="00BD6470">
        <w:rPr>
          <w:b w:val="0"/>
          <w:color w:val="auto"/>
        </w:rPr>
        <w:t>: Individual incomes in each artificial economy with their corresponding daily incomes and per-capita daily incomes.</w:t>
      </w:r>
    </w:p>
    <w:p w14:paraId="08684440" w14:textId="77777777" w:rsidR="00984073" w:rsidRDefault="00984073" w:rsidP="00984073"/>
    <w:tbl>
      <w:tblPr>
        <w:tblW w:w="8500" w:type="dxa"/>
        <w:jc w:val="center"/>
        <w:tblLook w:val="04A0" w:firstRow="1" w:lastRow="0" w:firstColumn="1" w:lastColumn="0" w:noHBand="0" w:noVBand="1"/>
      </w:tblPr>
      <w:tblGrid>
        <w:gridCol w:w="866"/>
        <w:gridCol w:w="448"/>
        <w:gridCol w:w="446"/>
        <w:gridCol w:w="658"/>
        <w:gridCol w:w="755"/>
        <w:gridCol w:w="755"/>
        <w:gridCol w:w="755"/>
        <w:gridCol w:w="448"/>
        <w:gridCol w:w="446"/>
        <w:gridCol w:w="658"/>
        <w:gridCol w:w="755"/>
        <w:gridCol w:w="755"/>
        <w:gridCol w:w="755"/>
      </w:tblGrid>
      <w:tr w:rsidR="00C33685" w:rsidRPr="009E7F75" w14:paraId="016A536C" w14:textId="77777777" w:rsidTr="00AD053C">
        <w:trPr>
          <w:trHeight w:val="300"/>
          <w:jc w:val="center"/>
        </w:trPr>
        <w:tc>
          <w:tcPr>
            <w:tcW w:w="866" w:type="dxa"/>
            <w:tcBorders>
              <w:top w:val="nil"/>
              <w:left w:val="nil"/>
              <w:right w:val="single" w:sz="4" w:space="0" w:color="auto"/>
            </w:tcBorders>
            <w:shd w:val="clear" w:color="auto" w:fill="auto"/>
            <w:noWrap/>
            <w:vAlign w:val="bottom"/>
          </w:tcPr>
          <w:p w14:paraId="6C67F813" w14:textId="77777777" w:rsidR="00C33685" w:rsidRPr="009E7F75" w:rsidRDefault="00C33685" w:rsidP="00C22CD5">
            <w:pPr>
              <w:rPr>
                <w:rFonts w:ascii="Calibri" w:eastAsia="Times New Roman" w:hAnsi="Calibri" w:cs="Times New Roman"/>
                <w:color w:val="000000"/>
                <w:sz w:val="20"/>
                <w:szCs w:val="20"/>
              </w:rPr>
            </w:pPr>
          </w:p>
        </w:tc>
        <w:tc>
          <w:tcPr>
            <w:tcW w:w="3817" w:type="dxa"/>
            <w:gridSpan w:val="6"/>
            <w:tcBorders>
              <w:top w:val="nil"/>
              <w:left w:val="single" w:sz="4" w:space="0" w:color="auto"/>
              <w:right w:val="single" w:sz="4" w:space="0" w:color="auto"/>
            </w:tcBorders>
            <w:shd w:val="clear" w:color="auto" w:fill="auto"/>
            <w:noWrap/>
            <w:vAlign w:val="bottom"/>
          </w:tcPr>
          <w:p w14:paraId="4D4CD890" w14:textId="4C79EA6D" w:rsidR="00C33685" w:rsidRPr="009E7F75" w:rsidRDefault="00C33685" w:rsidP="00C3368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Poverty Line, z = 2</w:t>
            </w:r>
          </w:p>
        </w:tc>
        <w:tc>
          <w:tcPr>
            <w:tcW w:w="3817" w:type="dxa"/>
            <w:gridSpan w:val="6"/>
            <w:tcBorders>
              <w:top w:val="nil"/>
              <w:left w:val="single" w:sz="4" w:space="0" w:color="auto"/>
              <w:right w:val="nil"/>
            </w:tcBorders>
            <w:shd w:val="clear" w:color="auto" w:fill="auto"/>
            <w:noWrap/>
            <w:vAlign w:val="bottom"/>
          </w:tcPr>
          <w:p w14:paraId="54EC1EE6" w14:textId="6BF715EA" w:rsidR="00C33685" w:rsidRPr="009E7F75" w:rsidRDefault="00C33685" w:rsidP="00C33685">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Poverty Line, z = 3</w:t>
            </w:r>
          </w:p>
        </w:tc>
      </w:tr>
      <w:tr w:rsidR="00C33685" w:rsidRPr="009E7F75" w14:paraId="378E25F2" w14:textId="77777777" w:rsidTr="00C33685">
        <w:trPr>
          <w:trHeight w:val="300"/>
          <w:jc w:val="center"/>
        </w:trPr>
        <w:tc>
          <w:tcPr>
            <w:tcW w:w="866" w:type="dxa"/>
            <w:tcBorders>
              <w:left w:val="nil"/>
              <w:bottom w:val="single" w:sz="4" w:space="0" w:color="auto"/>
              <w:right w:val="single" w:sz="4" w:space="0" w:color="auto"/>
            </w:tcBorders>
            <w:shd w:val="clear" w:color="auto" w:fill="auto"/>
            <w:noWrap/>
            <w:vAlign w:val="bottom"/>
            <w:hideMark/>
          </w:tcPr>
          <w:p w14:paraId="230F03D3"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Country</w:t>
            </w:r>
          </w:p>
        </w:tc>
        <w:tc>
          <w:tcPr>
            <w:tcW w:w="448" w:type="dxa"/>
            <w:tcBorders>
              <w:left w:val="single" w:sz="4" w:space="0" w:color="auto"/>
              <w:bottom w:val="single" w:sz="4" w:space="0" w:color="auto"/>
              <w:right w:val="nil"/>
            </w:tcBorders>
            <w:shd w:val="clear" w:color="auto" w:fill="auto"/>
            <w:noWrap/>
            <w:vAlign w:val="bottom"/>
            <w:hideMark/>
          </w:tcPr>
          <w:p w14:paraId="12126E73"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HC</w:t>
            </w:r>
          </w:p>
        </w:tc>
        <w:tc>
          <w:tcPr>
            <w:tcW w:w="446" w:type="dxa"/>
            <w:tcBorders>
              <w:left w:val="nil"/>
              <w:bottom w:val="single" w:sz="4" w:space="0" w:color="auto"/>
              <w:right w:val="nil"/>
            </w:tcBorders>
            <w:shd w:val="clear" w:color="auto" w:fill="auto"/>
            <w:noWrap/>
            <w:vAlign w:val="bottom"/>
            <w:hideMark/>
          </w:tcPr>
          <w:p w14:paraId="6823FF7A"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PG</w:t>
            </w:r>
          </w:p>
        </w:tc>
        <w:tc>
          <w:tcPr>
            <w:tcW w:w="658" w:type="dxa"/>
            <w:tcBorders>
              <w:left w:val="nil"/>
              <w:bottom w:val="single" w:sz="4" w:space="0" w:color="auto"/>
              <w:right w:val="nil"/>
            </w:tcBorders>
            <w:shd w:val="clear" w:color="auto" w:fill="auto"/>
            <w:noWrap/>
            <w:vAlign w:val="bottom"/>
            <w:hideMark/>
          </w:tcPr>
          <w:p w14:paraId="480CD305" w14:textId="77777777" w:rsidR="00C33685" w:rsidRPr="009E7F75" w:rsidRDefault="00C33685" w:rsidP="00C22CD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PG</w:t>
            </w:r>
            <w:r w:rsidRPr="009E7F75">
              <w:rPr>
                <w:rFonts w:ascii="Calibri" w:eastAsia="Times New Roman" w:hAnsi="Calibri" w:cs="Times New Roman"/>
                <w:color w:val="000000"/>
                <w:sz w:val="20"/>
                <w:szCs w:val="20"/>
                <w:vertAlign w:val="superscript"/>
              </w:rPr>
              <w:t>2</w:t>
            </w:r>
          </w:p>
        </w:tc>
        <w:tc>
          <w:tcPr>
            <w:tcW w:w="755" w:type="dxa"/>
            <w:tcBorders>
              <w:left w:val="nil"/>
              <w:bottom w:val="single" w:sz="4" w:space="0" w:color="auto"/>
              <w:right w:val="nil"/>
            </w:tcBorders>
            <w:shd w:val="clear" w:color="auto" w:fill="auto"/>
            <w:noWrap/>
            <w:vAlign w:val="bottom"/>
            <w:hideMark/>
          </w:tcPr>
          <w:p w14:paraId="2F084FA4"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FGT(0)</w:t>
            </w:r>
          </w:p>
        </w:tc>
        <w:tc>
          <w:tcPr>
            <w:tcW w:w="755" w:type="dxa"/>
            <w:tcBorders>
              <w:left w:val="nil"/>
              <w:bottom w:val="single" w:sz="4" w:space="0" w:color="auto"/>
              <w:right w:val="nil"/>
            </w:tcBorders>
            <w:shd w:val="clear" w:color="auto" w:fill="auto"/>
            <w:noWrap/>
            <w:vAlign w:val="bottom"/>
            <w:hideMark/>
          </w:tcPr>
          <w:p w14:paraId="6CE424D6"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FGT(1)</w:t>
            </w:r>
          </w:p>
        </w:tc>
        <w:tc>
          <w:tcPr>
            <w:tcW w:w="755" w:type="dxa"/>
            <w:tcBorders>
              <w:left w:val="nil"/>
              <w:right w:val="single" w:sz="4" w:space="0" w:color="auto"/>
            </w:tcBorders>
            <w:shd w:val="clear" w:color="auto" w:fill="auto"/>
            <w:noWrap/>
            <w:vAlign w:val="bottom"/>
            <w:hideMark/>
          </w:tcPr>
          <w:p w14:paraId="076612EB"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FGT(2)</w:t>
            </w:r>
          </w:p>
        </w:tc>
        <w:tc>
          <w:tcPr>
            <w:tcW w:w="448" w:type="dxa"/>
            <w:tcBorders>
              <w:left w:val="single" w:sz="4" w:space="0" w:color="auto"/>
              <w:bottom w:val="single" w:sz="4" w:space="0" w:color="auto"/>
              <w:right w:val="nil"/>
            </w:tcBorders>
            <w:shd w:val="clear" w:color="auto" w:fill="auto"/>
            <w:noWrap/>
            <w:vAlign w:val="bottom"/>
            <w:hideMark/>
          </w:tcPr>
          <w:p w14:paraId="71F06782"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HC</w:t>
            </w:r>
          </w:p>
        </w:tc>
        <w:tc>
          <w:tcPr>
            <w:tcW w:w="446" w:type="dxa"/>
            <w:tcBorders>
              <w:left w:val="nil"/>
              <w:bottom w:val="single" w:sz="4" w:space="0" w:color="auto"/>
              <w:right w:val="nil"/>
            </w:tcBorders>
            <w:shd w:val="clear" w:color="auto" w:fill="auto"/>
            <w:noWrap/>
            <w:vAlign w:val="bottom"/>
            <w:hideMark/>
          </w:tcPr>
          <w:p w14:paraId="2EBFD186"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PG</w:t>
            </w:r>
          </w:p>
        </w:tc>
        <w:tc>
          <w:tcPr>
            <w:tcW w:w="658" w:type="dxa"/>
            <w:tcBorders>
              <w:left w:val="nil"/>
              <w:bottom w:val="single" w:sz="4" w:space="0" w:color="auto"/>
              <w:right w:val="nil"/>
            </w:tcBorders>
            <w:shd w:val="clear" w:color="auto" w:fill="auto"/>
            <w:noWrap/>
            <w:vAlign w:val="bottom"/>
            <w:hideMark/>
          </w:tcPr>
          <w:p w14:paraId="0FD5DFB8" w14:textId="77777777" w:rsidR="00C33685" w:rsidRPr="009E7F75" w:rsidRDefault="00C33685" w:rsidP="00C22CD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PG</w:t>
            </w:r>
            <w:r w:rsidRPr="009E7F75">
              <w:rPr>
                <w:rFonts w:ascii="Calibri" w:eastAsia="Times New Roman" w:hAnsi="Calibri" w:cs="Times New Roman"/>
                <w:color w:val="000000"/>
                <w:sz w:val="20"/>
                <w:szCs w:val="20"/>
                <w:vertAlign w:val="superscript"/>
              </w:rPr>
              <w:t>2</w:t>
            </w:r>
          </w:p>
        </w:tc>
        <w:tc>
          <w:tcPr>
            <w:tcW w:w="755" w:type="dxa"/>
            <w:tcBorders>
              <w:left w:val="nil"/>
              <w:bottom w:val="single" w:sz="4" w:space="0" w:color="auto"/>
              <w:right w:val="nil"/>
            </w:tcBorders>
            <w:shd w:val="clear" w:color="auto" w:fill="auto"/>
            <w:noWrap/>
            <w:vAlign w:val="bottom"/>
            <w:hideMark/>
          </w:tcPr>
          <w:p w14:paraId="1AF447C0"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FGT(0)</w:t>
            </w:r>
          </w:p>
        </w:tc>
        <w:tc>
          <w:tcPr>
            <w:tcW w:w="755" w:type="dxa"/>
            <w:tcBorders>
              <w:left w:val="nil"/>
              <w:bottom w:val="single" w:sz="4" w:space="0" w:color="auto"/>
              <w:right w:val="nil"/>
            </w:tcBorders>
            <w:shd w:val="clear" w:color="auto" w:fill="auto"/>
            <w:noWrap/>
            <w:vAlign w:val="bottom"/>
            <w:hideMark/>
          </w:tcPr>
          <w:p w14:paraId="2871432E"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FGT(1)</w:t>
            </w:r>
          </w:p>
        </w:tc>
        <w:tc>
          <w:tcPr>
            <w:tcW w:w="755" w:type="dxa"/>
            <w:tcBorders>
              <w:left w:val="nil"/>
              <w:bottom w:val="single" w:sz="4" w:space="0" w:color="auto"/>
              <w:right w:val="nil"/>
            </w:tcBorders>
            <w:shd w:val="clear" w:color="auto" w:fill="auto"/>
            <w:noWrap/>
            <w:vAlign w:val="bottom"/>
            <w:hideMark/>
          </w:tcPr>
          <w:p w14:paraId="1C2AF88E"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FGT(2)</w:t>
            </w:r>
          </w:p>
        </w:tc>
      </w:tr>
      <w:tr w:rsidR="00C33685" w:rsidRPr="009E7F75" w14:paraId="52F373CE" w14:textId="77777777" w:rsidTr="00C33685">
        <w:trPr>
          <w:trHeight w:val="300"/>
          <w:jc w:val="center"/>
        </w:trPr>
        <w:tc>
          <w:tcPr>
            <w:tcW w:w="866" w:type="dxa"/>
            <w:tcBorders>
              <w:top w:val="single" w:sz="4" w:space="0" w:color="auto"/>
              <w:left w:val="nil"/>
              <w:bottom w:val="nil"/>
              <w:right w:val="single" w:sz="4" w:space="0" w:color="auto"/>
            </w:tcBorders>
            <w:shd w:val="clear" w:color="auto" w:fill="auto"/>
            <w:noWrap/>
            <w:vAlign w:val="bottom"/>
            <w:hideMark/>
          </w:tcPr>
          <w:p w14:paraId="63527DE4"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A</w:t>
            </w:r>
          </w:p>
        </w:tc>
        <w:tc>
          <w:tcPr>
            <w:tcW w:w="448" w:type="dxa"/>
            <w:tcBorders>
              <w:top w:val="single" w:sz="4" w:space="0" w:color="auto"/>
              <w:left w:val="single" w:sz="4" w:space="0" w:color="auto"/>
              <w:bottom w:val="nil"/>
              <w:right w:val="nil"/>
            </w:tcBorders>
            <w:shd w:val="clear" w:color="auto" w:fill="auto"/>
            <w:noWrap/>
            <w:vAlign w:val="bottom"/>
            <w:hideMark/>
          </w:tcPr>
          <w:p w14:paraId="6EB490E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3</w:t>
            </w:r>
          </w:p>
        </w:tc>
        <w:tc>
          <w:tcPr>
            <w:tcW w:w="446" w:type="dxa"/>
            <w:tcBorders>
              <w:top w:val="single" w:sz="4" w:space="0" w:color="auto"/>
              <w:left w:val="nil"/>
              <w:bottom w:val="nil"/>
              <w:right w:val="nil"/>
            </w:tcBorders>
            <w:shd w:val="clear" w:color="auto" w:fill="auto"/>
            <w:noWrap/>
            <w:vAlign w:val="bottom"/>
            <w:hideMark/>
          </w:tcPr>
          <w:p w14:paraId="20270E0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3</w:t>
            </w:r>
          </w:p>
        </w:tc>
        <w:tc>
          <w:tcPr>
            <w:tcW w:w="658" w:type="dxa"/>
            <w:tcBorders>
              <w:top w:val="single" w:sz="4" w:space="0" w:color="auto"/>
              <w:left w:val="nil"/>
              <w:bottom w:val="nil"/>
              <w:right w:val="nil"/>
            </w:tcBorders>
            <w:shd w:val="clear" w:color="auto" w:fill="auto"/>
            <w:noWrap/>
            <w:vAlign w:val="bottom"/>
            <w:hideMark/>
          </w:tcPr>
          <w:p w14:paraId="15514FC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3</w:t>
            </w:r>
          </w:p>
        </w:tc>
        <w:tc>
          <w:tcPr>
            <w:tcW w:w="755" w:type="dxa"/>
            <w:tcBorders>
              <w:top w:val="single" w:sz="4" w:space="0" w:color="auto"/>
              <w:left w:val="nil"/>
              <w:bottom w:val="nil"/>
              <w:right w:val="nil"/>
            </w:tcBorders>
            <w:shd w:val="clear" w:color="auto" w:fill="auto"/>
            <w:noWrap/>
            <w:vAlign w:val="bottom"/>
            <w:hideMark/>
          </w:tcPr>
          <w:p w14:paraId="6B6D373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0.3</w:t>
            </w:r>
          </w:p>
        </w:tc>
        <w:tc>
          <w:tcPr>
            <w:tcW w:w="755" w:type="dxa"/>
            <w:tcBorders>
              <w:top w:val="single" w:sz="4" w:space="0" w:color="auto"/>
              <w:left w:val="nil"/>
              <w:bottom w:val="nil"/>
              <w:right w:val="nil"/>
            </w:tcBorders>
            <w:shd w:val="clear" w:color="auto" w:fill="auto"/>
            <w:noWrap/>
            <w:vAlign w:val="bottom"/>
            <w:hideMark/>
          </w:tcPr>
          <w:p w14:paraId="57ED0BB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0.15</w:t>
            </w:r>
          </w:p>
        </w:tc>
        <w:tc>
          <w:tcPr>
            <w:tcW w:w="755" w:type="dxa"/>
            <w:tcBorders>
              <w:left w:val="nil"/>
              <w:bottom w:val="nil"/>
              <w:right w:val="single" w:sz="4" w:space="0" w:color="auto"/>
            </w:tcBorders>
            <w:shd w:val="clear" w:color="auto" w:fill="auto"/>
            <w:noWrap/>
            <w:vAlign w:val="bottom"/>
            <w:hideMark/>
          </w:tcPr>
          <w:p w14:paraId="3BE7E66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0.075</w:t>
            </w:r>
          </w:p>
        </w:tc>
        <w:tc>
          <w:tcPr>
            <w:tcW w:w="448" w:type="dxa"/>
            <w:tcBorders>
              <w:top w:val="single" w:sz="4" w:space="0" w:color="auto"/>
              <w:left w:val="single" w:sz="4" w:space="0" w:color="auto"/>
              <w:bottom w:val="nil"/>
              <w:right w:val="nil"/>
            </w:tcBorders>
            <w:shd w:val="clear" w:color="auto" w:fill="auto"/>
            <w:noWrap/>
            <w:vAlign w:val="bottom"/>
            <w:hideMark/>
          </w:tcPr>
          <w:p w14:paraId="4A7F5669"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5</w:t>
            </w:r>
          </w:p>
        </w:tc>
        <w:tc>
          <w:tcPr>
            <w:tcW w:w="446" w:type="dxa"/>
            <w:tcBorders>
              <w:top w:val="single" w:sz="4" w:space="0" w:color="auto"/>
              <w:left w:val="nil"/>
              <w:bottom w:val="nil"/>
              <w:right w:val="nil"/>
            </w:tcBorders>
            <w:shd w:val="clear" w:color="auto" w:fill="auto"/>
            <w:noWrap/>
            <w:vAlign w:val="bottom"/>
            <w:hideMark/>
          </w:tcPr>
          <w:p w14:paraId="1222D52F"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8</w:t>
            </w:r>
          </w:p>
        </w:tc>
        <w:tc>
          <w:tcPr>
            <w:tcW w:w="658" w:type="dxa"/>
            <w:tcBorders>
              <w:top w:val="single" w:sz="4" w:space="0" w:color="auto"/>
              <w:left w:val="nil"/>
              <w:bottom w:val="nil"/>
              <w:right w:val="nil"/>
            </w:tcBorders>
            <w:shd w:val="clear" w:color="auto" w:fill="auto"/>
            <w:noWrap/>
            <w:vAlign w:val="bottom"/>
            <w:hideMark/>
          </w:tcPr>
          <w:p w14:paraId="5D593A2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14</w:t>
            </w:r>
          </w:p>
        </w:tc>
        <w:tc>
          <w:tcPr>
            <w:tcW w:w="755" w:type="dxa"/>
            <w:tcBorders>
              <w:top w:val="single" w:sz="4" w:space="0" w:color="auto"/>
              <w:left w:val="nil"/>
              <w:bottom w:val="nil"/>
              <w:right w:val="nil"/>
            </w:tcBorders>
            <w:shd w:val="clear" w:color="auto" w:fill="auto"/>
            <w:noWrap/>
            <w:vAlign w:val="bottom"/>
            <w:hideMark/>
          </w:tcPr>
          <w:p w14:paraId="4318A7FC"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0.5</w:t>
            </w:r>
          </w:p>
        </w:tc>
        <w:tc>
          <w:tcPr>
            <w:tcW w:w="755" w:type="dxa"/>
            <w:tcBorders>
              <w:top w:val="single" w:sz="4" w:space="0" w:color="auto"/>
              <w:left w:val="nil"/>
              <w:bottom w:val="nil"/>
              <w:right w:val="nil"/>
            </w:tcBorders>
            <w:shd w:val="clear" w:color="auto" w:fill="auto"/>
            <w:noWrap/>
            <w:vAlign w:val="bottom"/>
            <w:hideMark/>
          </w:tcPr>
          <w:p w14:paraId="23F142C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w:t>
            </w:r>
          </w:p>
        </w:tc>
        <w:tc>
          <w:tcPr>
            <w:tcW w:w="755" w:type="dxa"/>
            <w:tcBorders>
              <w:top w:val="single" w:sz="4" w:space="0" w:color="auto"/>
              <w:left w:val="nil"/>
              <w:bottom w:val="nil"/>
              <w:right w:val="nil"/>
            </w:tcBorders>
            <w:shd w:val="clear" w:color="auto" w:fill="auto"/>
            <w:noWrap/>
            <w:vAlign w:val="bottom"/>
            <w:hideMark/>
          </w:tcPr>
          <w:p w14:paraId="799B395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0.35</w:t>
            </w:r>
          </w:p>
        </w:tc>
      </w:tr>
      <w:tr w:rsidR="00C33685" w:rsidRPr="009E7F75" w14:paraId="397D89DB"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60AE7E79"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B</w:t>
            </w:r>
          </w:p>
        </w:tc>
        <w:tc>
          <w:tcPr>
            <w:tcW w:w="448" w:type="dxa"/>
            <w:tcBorders>
              <w:top w:val="nil"/>
              <w:left w:val="single" w:sz="4" w:space="0" w:color="auto"/>
              <w:bottom w:val="nil"/>
              <w:right w:val="nil"/>
            </w:tcBorders>
            <w:shd w:val="clear" w:color="auto" w:fill="auto"/>
            <w:noWrap/>
            <w:vAlign w:val="bottom"/>
            <w:hideMark/>
          </w:tcPr>
          <w:p w14:paraId="2136E397"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446" w:type="dxa"/>
            <w:tcBorders>
              <w:top w:val="nil"/>
              <w:left w:val="nil"/>
              <w:bottom w:val="nil"/>
              <w:right w:val="nil"/>
            </w:tcBorders>
            <w:shd w:val="clear" w:color="auto" w:fill="auto"/>
            <w:noWrap/>
            <w:vAlign w:val="bottom"/>
            <w:hideMark/>
          </w:tcPr>
          <w:p w14:paraId="51C5E674"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658" w:type="dxa"/>
            <w:tcBorders>
              <w:top w:val="nil"/>
              <w:left w:val="nil"/>
              <w:bottom w:val="nil"/>
              <w:right w:val="nil"/>
            </w:tcBorders>
            <w:shd w:val="clear" w:color="auto" w:fill="auto"/>
            <w:noWrap/>
            <w:vAlign w:val="bottom"/>
            <w:hideMark/>
          </w:tcPr>
          <w:p w14:paraId="3026DEBC"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nil"/>
            </w:tcBorders>
            <w:shd w:val="clear" w:color="auto" w:fill="auto"/>
            <w:noWrap/>
            <w:vAlign w:val="bottom"/>
            <w:hideMark/>
          </w:tcPr>
          <w:p w14:paraId="5E3BB008"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nil"/>
            </w:tcBorders>
            <w:shd w:val="clear" w:color="auto" w:fill="auto"/>
            <w:noWrap/>
            <w:vAlign w:val="bottom"/>
            <w:hideMark/>
          </w:tcPr>
          <w:p w14:paraId="32DD05A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single" w:sz="4" w:space="0" w:color="auto"/>
            </w:tcBorders>
            <w:shd w:val="clear" w:color="auto" w:fill="auto"/>
            <w:noWrap/>
            <w:vAlign w:val="bottom"/>
            <w:hideMark/>
          </w:tcPr>
          <w:p w14:paraId="642F0DA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448" w:type="dxa"/>
            <w:tcBorders>
              <w:top w:val="nil"/>
              <w:left w:val="single" w:sz="4" w:space="0" w:color="auto"/>
              <w:bottom w:val="nil"/>
              <w:right w:val="nil"/>
            </w:tcBorders>
            <w:shd w:val="clear" w:color="auto" w:fill="auto"/>
            <w:noWrap/>
            <w:vAlign w:val="bottom"/>
            <w:hideMark/>
          </w:tcPr>
          <w:p w14:paraId="7C2C3AD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5</w:t>
            </w:r>
          </w:p>
        </w:tc>
        <w:tc>
          <w:tcPr>
            <w:tcW w:w="446" w:type="dxa"/>
            <w:tcBorders>
              <w:top w:val="nil"/>
              <w:left w:val="nil"/>
              <w:bottom w:val="nil"/>
              <w:right w:val="nil"/>
            </w:tcBorders>
            <w:shd w:val="clear" w:color="auto" w:fill="auto"/>
            <w:noWrap/>
            <w:vAlign w:val="bottom"/>
            <w:hideMark/>
          </w:tcPr>
          <w:p w14:paraId="47D9AB7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5</w:t>
            </w:r>
          </w:p>
        </w:tc>
        <w:tc>
          <w:tcPr>
            <w:tcW w:w="658" w:type="dxa"/>
            <w:tcBorders>
              <w:top w:val="nil"/>
              <w:left w:val="nil"/>
              <w:bottom w:val="nil"/>
              <w:right w:val="nil"/>
            </w:tcBorders>
            <w:shd w:val="clear" w:color="auto" w:fill="auto"/>
            <w:noWrap/>
            <w:vAlign w:val="bottom"/>
            <w:hideMark/>
          </w:tcPr>
          <w:p w14:paraId="04939C9F"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5</w:t>
            </w:r>
          </w:p>
        </w:tc>
        <w:tc>
          <w:tcPr>
            <w:tcW w:w="755" w:type="dxa"/>
            <w:tcBorders>
              <w:top w:val="nil"/>
              <w:left w:val="nil"/>
              <w:bottom w:val="nil"/>
              <w:right w:val="nil"/>
            </w:tcBorders>
            <w:shd w:val="clear" w:color="auto" w:fill="auto"/>
            <w:noWrap/>
            <w:vAlign w:val="bottom"/>
            <w:hideMark/>
          </w:tcPr>
          <w:p w14:paraId="2DEC2F91"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0.5</w:t>
            </w:r>
          </w:p>
        </w:tc>
        <w:tc>
          <w:tcPr>
            <w:tcW w:w="755" w:type="dxa"/>
            <w:tcBorders>
              <w:top w:val="nil"/>
              <w:left w:val="nil"/>
              <w:bottom w:val="nil"/>
              <w:right w:val="nil"/>
            </w:tcBorders>
            <w:shd w:val="clear" w:color="auto" w:fill="auto"/>
            <w:noWrap/>
            <w:vAlign w:val="bottom"/>
            <w:hideMark/>
          </w:tcPr>
          <w:p w14:paraId="58E9A32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0.25</w:t>
            </w:r>
          </w:p>
        </w:tc>
        <w:tc>
          <w:tcPr>
            <w:tcW w:w="755" w:type="dxa"/>
            <w:tcBorders>
              <w:top w:val="nil"/>
              <w:left w:val="nil"/>
              <w:bottom w:val="nil"/>
              <w:right w:val="nil"/>
            </w:tcBorders>
            <w:shd w:val="clear" w:color="auto" w:fill="auto"/>
            <w:noWrap/>
            <w:vAlign w:val="bottom"/>
            <w:hideMark/>
          </w:tcPr>
          <w:p w14:paraId="16258C21"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0.125</w:t>
            </w:r>
          </w:p>
        </w:tc>
      </w:tr>
      <w:tr w:rsidR="00C33685" w:rsidRPr="009E7F75" w14:paraId="6AE0C372"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201E756C"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C</w:t>
            </w:r>
          </w:p>
        </w:tc>
        <w:tc>
          <w:tcPr>
            <w:tcW w:w="448" w:type="dxa"/>
            <w:tcBorders>
              <w:top w:val="nil"/>
              <w:left w:val="single" w:sz="4" w:space="0" w:color="auto"/>
              <w:bottom w:val="nil"/>
              <w:right w:val="nil"/>
            </w:tcBorders>
            <w:shd w:val="clear" w:color="auto" w:fill="auto"/>
            <w:noWrap/>
            <w:vAlign w:val="bottom"/>
            <w:hideMark/>
          </w:tcPr>
          <w:p w14:paraId="4B8B621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446" w:type="dxa"/>
            <w:tcBorders>
              <w:top w:val="nil"/>
              <w:left w:val="nil"/>
              <w:bottom w:val="nil"/>
              <w:right w:val="nil"/>
            </w:tcBorders>
            <w:shd w:val="clear" w:color="auto" w:fill="auto"/>
            <w:noWrap/>
            <w:vAlign w:val="bottom"/>
            <w:hideMark/>
          </w:tcPr>
          <w:p w14:paraId="3D3DD1A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658" w:type="dxa"/>
            <w:tcBorders>
              <w:top w:val="nil"/>
              <w:left w:val="nil"/>
              <w:bottom w:val="nil"/>
              <w:right w:val="nil"/>
            </w:tcBorders>
            <w:shd w:val="clear" w:color="auto" w:fill="auto"/>
            <w:noWrap/>
            <w:vAlign w:val="bottom"/>
            <w:hideMark/>
          </w:tcPr>
          <w:p w14:paraId="07A01B2E"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755" w:type="dxa"/>
            <w:tcBorders>
              <w:top w:val="nil"/>
              <w:left w:val="nil"/>
              <w:bottom w:val="nil"/>
              <w:right w:val="nil"/>
            </w:tcBorders>
            <w:shd w:val="clear" w:color="auto" w:fill="auto"/>
            <w:noWrap/>
            <w:vAlign w:val="bottom"/>
            <w:hideMark/>
          </w:tcPr>
          <w:p w14:paraId="243F79B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w:t>
            </w:r>
          </w:p>
        </w:tc>
        <w:tc>
          <w:tcPr>
            <w:tcW w:w="755" w:type="dxa"/>
            <w:tcBorders>
              <w:top w:val="nil"/>
              <w:left w:val="nil"/>
              <w:bottom w:val="nil"/>
              <w:right w:val="nil"/>
            </w:tcBorders>
            <w:shd w:val="clear" w:color="auto" w:fill="auto"/>
            <w:noWrap/>
            <w:vAlign w:val="bottom"/>
            <w:hideMark/>
          </w:tcPr>
          <w:p w14:paraId="322C6E2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single" w:sz="4" w:space="0" w:color="auto"/>
            </w:tcBorders>
            <w:shd w:val="clear" w:color="auto" w:fill="auto"/>
            <w:noWrap/>
            <w:vAlign w:val="bottom"/>
            <w:hideMark/>
          </w:tcPr>
          <w:p w14:paraId="6D8B2C8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448" w:type="dxa"/>
            <w:tcBorders>
              <w:top w:val="nil"/>
              <w:left w:val="single" w:sz="4" w:space="0" w:color="auto"/>
              <w:bottom w:val="nil"/>
              <w:right w:val="nil"/>
            </w:tcBorders>
            <w:shd w:val="clear" w:color="auto" w:fill="auto"/>
            <w:noWrap/>
            <w:vAlign w:val="bottom"/>
            <w:hideMark/>
          </w:tcPr>
          <w:p w14:paraId="0F3921A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7</w:t>
            </w:r>
          </w:p>
        </w:tc>
        <w:tc>
          <w:tcPr>
            <w:tcW w:w="446" w:type="dxa"/>
            <w:tcBorders>
              <w:top w:val="nil"/>
              <w:left w:val="nil"/>
              <w:bottom w:val="nil"/>
              <w:right w:val="nil"/>
            </w:tcBorders>
            <w:shd w:val="clear" w:color="auto" w:fill="auto"/>
            <w:noWrap/>
            <w:vAlign w:val="bottom"/>
            <w:hideMark/>
          </w:tcPr>
          <w:p w14:paraId="1DCBA91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11</w:t>
            </w:r>
          </w:p>
        </w:tc>
        <w:tc>
          <w:tcPr>
            <w:tcW w:w="658" w:type="dxa"/>
            <w:tcBorders>
              <w:top w:val="nil"/>
              <w:left w:val="nil"/>
              <w:bottom w:val="nil"/>
              <w:right w:val="nil"/>
            </w:tcBorders>
            <w:shd w:val="clear" w:color="auto" w:fill="auto"/>
            <w:noWrap/>
            <w:vAlign w:val="bottom"/>
            <w:hideMark/>
          </w:tcPr>
          <w:p w14:paraId="29232A3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19</w:t>
            </w:r>
          </w:p>
        </w:tc>
        <w:tc>
          <w:tcPr>
            <w:tcW w:w="755" w:type="dxa"/>
            <w:tcBorders>
              <w:top w:val="nil"/>
              <w:left w:val="nil"/>
              <w:bottom w:val="nil"/>
              <w:right w:val="nil"/>
            </w:tcBorders>
            <w:shd w:val="clear" w:color="auto" w:fill="auto"/>
            <w:noWrap/>
            <w:vAlign w:val="bottom"/>
            <w:hideMark/>
          </w:tcPr>
          <w:p w14:paraId="4516EBF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0.7</w:t>
            </w:r>
          </w:p>
        </w:tc>
        <w:tc>
          <w:tcPr>
            <w:tcW w:w="755" w:type="dxa"/>
            <w:tcBorders>
              <w:top w:val="nil"/>
              <w:left w:val="nil"/>
              <w:bottom w:val="nil"/>
              <w:right w:val="nil"/>
            </w:tcBorders>
            <w:shd w:val="clear" w:color="auto" w:fill="auto"/>
            <w:noWrap/>
            <w:vAlign w:val="bottom"/>
            <w:hideMark/>
          </w:tcPr>
          <w:p w14:paraId="1B679C8E"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0.55</w:t>
            </w:r>
          </w:p>
        </w:tc>
        <w:tc>
          <w:tcPr>
            <w:tcW w:w="755" w:type="dxa"/>
            <w:tcBorders>
              <w:top w:val="nil"/>
              <w:left w:val="nil"/>
              <w:bottom w:val="nil"/>
              <w:right w:val="nil"/>
            </w:tcBorders>
            <w:shd w:val="clear" w:color="auto" w:fill="auto"/>
            <w:noWrap/>
            <w:vAlign w:val="bottom"/>
            <w:hideMark/>
          </w:tcPr>
          <w:p w14:paraId="70EDB90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0.475</w:t>
            </w:r>
          </w:p>
        </w:tc>
      </w:tr>
      <w:tr w:rsidR="00C33685" w:rsidRPr="009E7F75" w14:paraId="429444A0"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4BB6CE58"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D</w:t>
            </w:r>
          </w:p>
        </w:tc>
        <w:tc>
          <w:tcPr>
            <w:tcW w:w="448" w:type="dxa"/>
            <w:tcBorders>
              <w:top w:val="nil"/>
              <w:left w:val="single" w:sz="4" w:space="0" w:color="auto"/>
              <w:bottom w:val="nil"/>
              <w:right w:val="nil"/>
            </w:tcBorders>
            <w:shd w:val="clear" w:color="auto" w:fill="auto"/>
            <w:noWrap/>
            <w:vAlign w:val="bottom"/>
            <w:hideMark/>
          </w:tcPr>
          <w:p w14:paraId="3F16EF6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446" w:type="dxa"/>
            <w:tcBorders>
              <w:top w:val="nil"/>
              <w:left w:val="nil"/>
              <w:bottom w:val="nil"/>
              <w:right w:val="nil"/>
            </w:tcBorders>
            <w:shd w:val="clear" w:color="auto" w:fill="auto"/>
            <w:noWrap/>
            <w:vAlign w:val="bottom"/>
            <w:hideMark/>
          </w:tcPr>
          <w:p w14:paraId="6DEABEF8"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658" w:type="dxa"/>
            <w:tcBorders>
              <w:top w:val="nil"/>
              <w:left w:val="nil"/>
              <w:bottom w:val="nil"/>
              <w:right w:val="nil"/>
            </w:tcBorders>
            <w:shd w:val="clear" w:color="auto" w:fill="auto"/>
            <w:noWrap/>
            <w:vAlign w:val="bottom"/>
            <w:hideMark/>
          </w:tcPr>
          <w:p w14:paraId="61AD22A8"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755" w:type="dxa"/>
            <w:tcBorders>
              <w:top w:val="nil"/>
              <w:left w:val="nil"/>
              <w:bottom w:val="nil"/>
              <w:right w:val="nil"/>
            </w:tcBorders>
            <w:shd w:val="clear" w:color="auto" w:fill="auto"/>
            <w:noWrap/>
            <w:vAlign w:val="bottom"/>
            <w:hideMark/>
          </w:tcPr>
          <w:p w14:paraId="4A177CE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755" w:type="dxa"/>
            <w:tcBorders>
              <w:top w:val="nil"/>
              <w:left w:val="nil"/>
              <w:bottom w:val="nil"/>
              <w:right w:val="nil"/>
            </w:tcBorders>
            <w:shd w:val="clear" w:color="auto" w:fill="auto"/>
            <w:noWrap/>
            <w:vAlign w:val="bottom"/>
            <w:hideMark/>
          </w:tcPr>
          <w:p w14:paraId="021F2C5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0.05</w:t>
            </w:r>
          </w:p>
        </w:tc>
        <w:tc>
          <w:tcPr>
            <w:tcW w:w="755" w:type="dxa"/>
            <w:tcBorders>
              <w:top w:val="nil"/>
              <w:left w:val="nil"/>
              <w:bottom w:val="nil"/>
              <w:right w:val="single" w:sz="4" w:space="0" w:color="auto"/>
            </w:tcBorders>
            <w:shd w:val="clear" w:color="auto" w:fill="auto"/>
            <w:noWrap/>
            <w:vAlign w:val="bottom"/>
            <w:hideMark/>
          </w:tcPr>
          <w:p w14:paraId="00F3F21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0.025</w:t>
            </w:r>
          </w:p>
        </w:tc>
        <w:tc>
          <w:tcPr>
            <w:tcW w:w="448" w:type="dxa"/>
            <w:tcBorders>
              <w:top w:val="nil"/>
              <w:left w:val="single" w:sz="4" w:space="0" w:color="auto"/>
              <w:bottom w:val="nil"/>
              <w:right w:val="nil"/>
            </w:tcBorders>
            <w:shd w:val="clear" w:color="auto" w:fill="auto"/>
            <w:noWrap/>
            <w:vAlign w:val="bottom"/>
            <w:hideMark/>
          </w:tcPr>
          <w:p w14:paraId="299A83C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3</w:t>
            </w:r>
          </w:p>
        </w:tc>
        <w:tc>
          <w:tcPr>
            <w:tcW w:w="446" w:type="dxa"/>
            <w:tcBorders>
              <w:top w:val="nil"/>
              <w:left w:val="nil"/>
              <w:bottom w:val="nil"/>
              <w:right w:val="nil"/>
            </w:tcBorders>
            <w:shd w:val="clear" w:color="auto" w:fill="auto"/>
            <w:noWrap/>
            <w:vAlign w:val="bottom"/>
            <w:hideMark/>
          </w:tcPr>
          <w:p w14:paraId="27BED8C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658" w:type="dxa"/>
            <w:tcBorders>
              <w:top w:val="nil"/>
              <w:left w:val="nil"/>
              <w:bottom w:val="nil"/>
              <w:right w:val="nil"/>
            </w:tcBorders>
            <w:shd w:val="clear" w:color="auto" w:fill="auto"/>
            <w:noWrap/>
            <w:vAlign w:val="bottom"/>
            <w:hideMark/>
          </w:tcPr>
          <w:p w14:paraId="5F8E654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6</w:t>
            </w:r>
          </w:p>
        </w:tc>
        <w:tc>
          <w:tcPr>
            <w:tcW w:w="755" w:type="dxa"/>
            <w:tcBorders>
              <w:top w:val="nil"/>
              <w:left w:val="nil"/>
              <w:bottom w:val="nil"/>
              <w:right w:val="nil"/>
            </w:tcBorders>
            <w:shd w:val="clear" w:color="auto" w:fill="auto"/>
            <w:noWrap/>
            <w:vAlign w:val="bottom"/>
            <w:hideMark/>
          </w:tcPr>
          <w:p w14:paraId="74CF377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0.3</w:t>
            </w:r>
          </w:p>
        </w:tc>
        <w:tc>
          <w:tcPr>
            <w:tcW w:w="755" w:type="dxa"/>
            <w:tcBorders>
              <w:top w:val="nil"/>
              <w:left w:val="nil"/>
              <w:bottom w:val="nil"/>
              <w:right w:val="nil"/>
            </w:tcBorders>
            <w:shd w:val="clear" w:color="auto" w:fill="auto"/>
            <w:noWrap/>
            <w:vAlign w:val="bottom"/>
            <w:hideMark/>
          </w:tcPr>
          <w:p w14:paraId="4C904924"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nil"/>
            </w:tcBorders>
            <w:shd w:val="clear" w:color="auto" w:fill="auto"/>
            <w:noWrap/>
            <w:vAlign w:val="bottom"/>
            <w:hideMark/>
          </w:tcPr>
          <w:p w14:paraId="5652D3C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0.15</w:t>
            </w:r>
          </w:p>
        </w:tc>
      </w:tr>
      <w:tr w:rsidR="00C33685" w:rsidRPr="009E7F75" w14:paraId="68EC4835"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4D199035"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E</w:t>
            </w:r>
          </w:p>
        </w:tc>
        <w:tc>
          <w:tcPr>
            <w:tcW w:w="448" w:type="dxa"/>
            <w:tcBorders>
              <w:top w:val="nil"/>
              <w:left w:val="single" w:sz="4" w:space="0" w:color="auto"/>
              <w:bottom w:val="nil"/>
              <w:right w:val="nil"/>
            </w:tcBorders>
            <w:shd w:val="clear" w:color="auto" w:fill="auto"/>
            <w:noWrap/>
            <w:vAlign w:val="bottom"/>
            <w:hideMark/>
          </w:tcPr>
          <w:p w14:paraId="68BE122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446" w:type="dxa"/>
            <w:tcBorders>
              <w:top w:val="nil"/>
              <w:left w:val="nil"/>
              <w:bottom w:val="nil"/>
              <w:right w:val="nil"/>
            </w:tcBorders>
            <w:shd w:val="clear" w:color="auto" w:fill="auto"/>
            <w:noWrap/>
            <w:vAlign w:val="bottom"/>
            <w:hideMark/>
          </w:tcPr>
          <w:p w14:paraId="5ECC28C7"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658" w:type="dxa"/>
            <w:tcBorders>
              <w:top w:val="nil"/>
              <w:left w:val="nil"/>
              <w:bottom w:val="nil"/>
              <w:right w:val="nil"/>
            </w:tcBorders>
            <w:shd w:val="clear" w:color="auto" w:fill="auto"/>
            <w:noWrap/>
            <w:vAlign w:val="bottom"/>
            <w:hideMark/>
          </w:tcPr>
          <w:p w14:paraId="594551B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755" w:type="dxa"/>
            <w:tcBorders>
              <w:top w:val="nil"/>
              <w:left w:val="nil"/>
              <w:bottom w:val="nil"/>
              <w:right w:val="nil"/>
            </w:tcBorders>
            <w:shd w:val="clear" w:color="auto" w:fill="auto"/>
            <w:noWrap/>
            <w:vAlign w:val="bottom"/>
            <w:hideMark/>
          </w:tcPr>
          <w:p w14:paraId="535D3AF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w:t>
            </w:r>
          </w:p>
        </w:tc>
        <w:tc>
          <w:tcPr>
            <w:tcW w:w="755" w:type="dxa"/>
            <w:tcBorders>
              <w:top w:val="nil"/>
              <w:left w:val="nil"/>
              <w:bottom w:val="nil"/>
              <w:right w:val="nil"/>
            </w:tcBorders>
            <w:shd w:val="clear" w:color="auto" w:fill="auto"/>
            <w:noWrap/>
            <w:vAlign w:val="bottom"/>
            <w:hideMark/>
          </w:tcPr>
          <w:p w14:paraId="3AAAF86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single" w:sz="4" w:space="0" w:color="auto"/>
            </w:tcBorders>
            <w:shd w:val="clear" w:color="auto" w:fill="auto"/>
            <w:noWrap/>
            <w:vAlign w:val="bottom"/>
            <w:hideMark/>
          </w:tcPr>
          <w:p w14:paraId="4C07905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448" w:type="dxa"/>
            <w:tcBorders>
              <w:top w:val="nil"/>
              <w:left w:val="single" w:sz="4" w:space="0" w:color="auto"/>
              <w:bottom w:val="nil"/>
              <w:right w:val="nil"/>
            </w:tcBorders>
            <w:shd w:val="clear" w:color="auto" w:fill="auto"/>
            <w:noWrap/>
            <w:vAlign w:val="bottom"/>
            <w:hideMark/>
          </w:tcPr>
          <w:p w14:paraId="5939DB3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446" w:type="dxa"/>
            <w:tcBorders>
              <w:top w:val="nil"/>
              <w:left w:val="nil"/>
              <w:bottom w:val="nil"/>
              <w:right w:val="nil"/>
            </w:tcBorders>
            <w:shd w:val="clear" w:color="auto" w:fill="auto"/>
            <w:noWrap/>
            <w:vAlign w:val="bottom"/>
            <w:hideMark/>
          </w:tcPr>
          <w:p w14:paraId="1B9B6C87"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8</w:t>
            </w:r>
          </w:p>
        </w:tc>
        <w:tc>
          <w:tcPr>
            <w:tcW w:w="658" w:type="dxa"/>
            <w:tcBorders>
              <w:top w:val="nil"/>
              <w:left w:val="nil"/>
              <w:bottom w:val="nil"/>
              <w:right w:val="nil"/>
            </w:tcBorders>
            <w:shd w:val="clear" w:color="auto" w:fill="auto"/>
            <w:noWrap/>
            <w:vAlign w:val="bottom"/>
            <w:hideMark/>
          </w:tcPr>
          <w:p w14:paraId="349F3C94"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16</w:t>
            </w:r>
          </w:p>
        </w:tc>
        <w:tc>
          <w:tcPr>
            <w:tcW w:w="755" w:type="dxa"/>
            <w:tcBorders>
              <w:top w:val="nil"/>
              <w:left w:val="nil"/>
              <w:bottom w:val="nil"/>
              <w:right w:val="nil"/>
            </w:tcBorders>
            <w:shd w:val="clear" w:color="auto" w:fill="auto"/>
            <w:noWrap/>
            <w:vAlign w:val="bottom"/>
            <w:hideMark/>
          </w:tcPr>
          <w:p w14:paraId="5BE3C2D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w:t>
            </w:r>
          </w:p>
        </w:tc>
        <w:tc>
          <w:tcPr>
            <w:tcW w:w="755" w:type="dxa"/>
            <w:tcBorders>
              <w:top w:val="nil"/>
              <w:left w:val="nil"/>
              <w:bottom w:val="nil"/>
              <w:right w:val="nil"/>
            </w:tcBorders>
            <w:shd w:val="clear" w:color="auto" w:fill="auto"/>
            <w:noWrap/>
            <w:vAlign w:val="bottom"/>
            <w:hideMark/>
          </w:tcPr>
          <w:p w14:paraId="4BB5CFF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w:t>
            </w:r>
          </w:p>
        </w:tc>
        <w:tc>
          <w:tcPr>
            <w:tcW w:w="755" w:type="dxa"/>
            <w:tcBorders>
              <w:top w:val="nil"/>
              <w:left w:val="nil"/>
              <w:bottom w:val="nil"/>
              <w:right w:val="nil"/>
            </w:tcBorders>
            <w:shd w:val="clear" w:color="auto" w:fill="auto"/>
            <w:noWrap/>
            <w:vAlign w:val="bottom"/>
            <w:hideMark/>
          </w:tcPr>
          <w:p w14:paraId="18F77911"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w:t>
            </w:r>
          </w:p>
        </w:tc>
      </w:tr>
      <w:tr w:rsidR="00C33685" w:rsidRPr="009E7F75" w14:paraId="065EBCFB"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4B9AFA96"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F</w:t>
            </w:r>
          </w:p>
        </w:tc>
        <w:tc>
          <w:tcPr>
            <w:tcW w:w="448" w:type="dxa"/>
            <w:tcBorders>
              <w:top w:val="nil"/>
              <w:left w:val="single" w:sz="4" w:space="0" w:color="auto"/>
              <w:bottom w:val="nil"/>
              <w:right w:val="nil"/>
            </w:tcBorders>
            <w:shd w:val="clear" w:color="auto" w:fill="auto"/>
            <w:noWrap/>
            <w:vAlign w:val="bottom"/>
            <w:hideMark/>
          </w:tcPr>
          <w:p w14:paraId="138C247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446" w:type="dxa"/>
            <w:tcBorders>
              <w:top w:val="nil"/>
              <w:left w:val="nil"/>
              <w:bottom w:val="nil"/>
              <w:right w:val="nil"/>
            </w:tcBorders>
            <w:shd w:val="clear" w:color="auto" w:fill="auto"/>
            <w:noWrap/>
            <w:vAlign w:val="bottom"/>
            <w:hideMark/>
          </w:tcPr>
          <w:p w14:paraId="025F7FC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658" w:type="dxa"/>
            <w:tcBorders>
              <w:top w:val="nil"/>
              <w:left w:val="nil"/>
              <w:bottom w:val="nil"/>
              <w:right w:val="nil"/>
            </w:tcBorders>
            <w:shd w:val="clear" w:color="auto" w:fill="auto"/>
            <w:noWrap/>
            <w:vAlign w:val="bottom"/>
            <w:hideMark/>
          </w:tcPr>
          <w:p w14:paraId="24B60F59"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nil"/>
            </w:tcBorders>
            <w:shd w:val="clear" w:color="auto" w:fill="auto"/>
            <w:noWrap/>
            <w:vAlign w:val="bottom"/>
            <w:hideMark/>
          </w:tcPr>
          <w:p w14:paraId="77778E31"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nil"/>
            </w:tcBorders>
            <w:shd w:val="clear" w:color="auto" w:fill="auto"/>
            <w:noWrap/>
            <w:vAlign w:val="bottom"/>
            <w:hideMark/>
          </w:tcPr>
          <w:p w14:paraId="4096DBDF"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single" w:sz="4" w:space="0" w:color="auto"/>
            </w:tcBorders>
            <w:shd w:val="clear" w:color="auto" w:fill="auto"/>
            <w:noWrap/>
            <w:vAlign w:val="bottom"/>
            <w:hideMark/>
          </w:tcPr>
          <w:p w14:paraId="767DCD67"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448" w:type="dxa"/>
            <w:tcBorders>
              <w:top w:val="nil"/>
              <w:left w:val="single" w:sz="4" w:space="0" w:color="auto"/>
              <w:bottom w:val="nil"/>
              <w:right w:val="nil"/>
            </w:tcBorders>
            <w:shd w:val="clear" w:color="auto" w:fill="auto"/>
            <w:noWrap/>
            <w:vAlign w:val="bottom"/>
            <w:hideMark/>
          </w:tcPr>
          <w:p w14:paraId="533DEEF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446" w:type="dxa"/>
            <w:tcBorders>
              <w:top w:val="nil"/>
              <w:left w:val="nil"/>
              <w:bottom w:val="nil"/>
              <w:right w:val="nil"/>
            </w:tcBorders>
            <w:shd w:val="clear" w:color="auto" w:fill="auto"/>
            <w:noWrap/>
            <w:vAlign w:val="bottom"/>
            <w:hideMark/>
          </w:tcPr>
          <w:p w14:paraId="0A06427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658" w:type="dxa"/>
            <w:tcBorders>
              <w:top w:val="nil"/>
              <w:left w:val="nil"/>
              <w:bottom w:val="nil"/>
              <w:right w:val="nil"/>
            </w:tcBorders>
            <w:shd w:val="clear" w:color="auto" w:fill="auto"/>
            <w:noWrap/>
            <w:vAlign w:val="bottom"/>
            <w:hideMark/>
          </w:tcPr>
          <w:p w14:paraId="2D2FBD6C"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755" w:type="dxa"/>
            <w:tcBorders>
              <w:top w:val="nil"/>
              <w:left w:val="nil"/>
              <w:bottom w:val="nil"/>
              <w:right w:val="nil"/>
            </w:tcBorders>
            <w:shd w:val="clear" w:color="auto" w:fill="auto"/>
            <w:noWrap/>
            <w:vAlign w:val="bottom"/>
            <w:hideMark/>
          </w:tcPr>
          <w:p w14:paraId="1B829FF1"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755" w:type="dxa"/>
            <w:tcBorders>
              <w:top w:val="nil"/>
              <w:left w:val="nil"/>
              <w:bottom w:val="nil"/>
              <w:right w:val="nil"/>
            </w:tcBorders>
            <w:shd w:val="clear" w:color="auto" w:fill="auto"/>
            <w:noWrap/>
            <w:vAlign w:val="bottom"/>
            <w:hideMark/>
          </w:tcPr>
          <w:p w14:paraId="7D3EB3DE"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0.05</w:t>
            </w:r>
          </w:p>
        </w:tc>
        <w:tc>
          <w:tcPr>
            <w:tcW w:w="755" w:type="dxa"/>
            <w:tcBorders>
              <w:top w:val="nil"/>
              <w:left w:val="nil"/>
              <w:bottom w:val="nil"/>
              <w:right w:val="nil"/>
            </w:tcBorders>
            <w:shd w:val="clear" w:color="auto" w:fill="auto"/>
            <w:noWrap/>
            <w:vAlign w:val="bottom"/>
            <w:hideMark/>
          </w:tcPr>
          <w:p w14:paraId="69874B4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0.025</w:t>
            </w:r>
          </w:p>
        </w:tc>
      </w:tr>
      <w:tr w:rsidR="00C33685" w:rsidRPr="009E7F75" w14:paraId="79486C3F"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7B849DC8"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G</w:t>
            </w:r>
          </w:p>
        </w:tc>
        <w:tc>
          <w:tcPr>
            <w:tcW w:w="448" w:type="dxa"/>
            <w:tcBorders>
              <w:top w:val="nil"/>
              <w:left w:val="single" w:sz="4" w:space="0" w:color="auto"/>
              <w:bottom w:val="nil"/>
              <w:right w:val="nil"/>
            </w:tcBorders>
            <w:shd w:val="clear" w:color="auto" w:fill="auto"/>
            <w:noWrap/>
            <w:vAlign w:val="bottom"/>
            <w:hideMark/>
          </w:tcPr>
          <w:p w14:paraId="29A5EF21"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446" w:type="dxa"/>
            <w:tcBorders>
              <w:top w:val="nil"/>
              <w:left w:val="nil"/>
              <w:bottom w:val="nil"/>
              <w:right w:val="nil"/>
            </w:tcBorders>
            <w:shd w:val="clear" w:color="auto" w:fill="auto"/>
            <w:noWrap/>
            <w:vAlign w:val="bottom"/>
            <w:hideMark/>
          </w:tcPr>
          <w:p w14:paraId="5DD3870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658" w:type="dxa"/>
            <w:tcBorders>
              <w:top w:val="nil"/>
              <w:left w:val="nil"/>
              <w:bottom w:val="nil"/>
              <w:right w:val="nil"/>
            </w:tcBorders>
            <w:shd w:val="clear" w:color="auto" w:fill="auto"/>
            <w:noWrap/>
            <w:vAlign w:val="bottom"/>
            <w:hideMark/>
          </w:tcPr>
          <w:p w14:paraId="16EEE5D1"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w:t>
            </w:r>
          </w:p>
        </w:tc>
        <w:tc>
          <w:tcPr>
            <w:tcW w:w="755" w:type="dxa"/>
            <w:tcBorders>
              <w:top w:val="nil"/>
              <w:left w:val="nil"/>
              <w:bottom w:val="nil"/>
              <w:right w:val="nil"/>
            </w:tcBorders>
            <w:shd w:val="clear" w:color="auto" w:fill="auto"/>
            <w:noWrap/>
            <w:vAlign w:val="bottom"/>
            <w:hideMark/>
          </w:tcPr>
          <w:p w14:paraId="65F33C18"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755" w:type="dxa"/>
            <w:tcBorders>
              <w:top w:val="nil"/>
              <w:left w:val="nil"/>
              <w:bottom w:val="nil"/>
              <w:right w:val="nil"/>
            </w:tcBorders>
            <w:shd w:val="clear" w:color="auto" w:fill="auto"/>
            <w:noWrap/>
            <w:vAlign w:val="bottom"/>
            <w:hideMark/>
          </w:tcPr>
          <w:p w14:paraId="3F55554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0.05</w:t>
            </w:r>
          </w:p>
        </w:tc>
        <w:tc>
          <w:tcPr>
            <w:tcW w:w="755" w:type="dxa"/>
            <w:tcBorders>
              <w:top w:val="nil"/>
              <w:left w:val="nil"/>
              <w:bottom w:val="nil"/>
              <w:right w:val="single" w:sz="4" w:space="0" w:color="auto"/>
            </w:tcBorders>
            <w:shd w:val="clear" w:color="auto" w:fill="auto"/>
            <w:noWrap/>
            <w:vAlign w:val="bottom"/>
            <w:hideMark/>
          </w:tcPr>
          <w:p w14:paraId="47B4BE6F"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0.025</w:t>
            </w:r>
          </w:p>
        </w:tc>
        <w:tc>
          <w:tcPr>
            <w:tcW w:w="448" w:type="dxa"/>
            <w:tcBorders>
              <w:top w:val="nil"/>
              <w:left w:val="single" w:sz="4" w:space="0" w:color="auto"/>
              <w:bottom w:val="nil"/>
              <w:right w:val="nil"/>
            </w:tcBorders>
            <w:shd w:val="clear" w:color="auto" w:fill="auto"/>
            <w:noWrap/>
            <w:vAlign w:val="bottom"/>
            <w:hideMark/>
          </w:tcPr>
          <w:p w14:paraId="7BFA930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446" w:type="dxa"/>
            <w:tcBorders>
              <w:top w:val="nil"/>
              <w:left w:val="nil"/>
              <w:bottom w:val="nil"/>
              <w:right w:val="nil"/>
            </w:tcBorders>
            <w:shd w:val="clear" w:color="auto" w:fill="auto"/>
            <w:noWrap/>
            <w:vAlign w:val="bottom"/>
            <w:hideMark/>
          </w:tcPr>
          <w:p w14:paraId="56E719D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3</w:t>
            </w:r>
          </w:p>
        </w:tc>
        <w:tc>
          <w:tcPr>
            <w:tcW w:w="658" w:type="dxa"/>
            <w:tcBorders>
              <w:top w:val="nil"/>
              <w:left w:val="nil"/>
              <w:bottom w:val="nil"/>
              <w:right w:val="nil"/>
            </w:tcBorders>
            <w:shd w:val="clear" w:color="auto" w:fill="auto"/>
            <w:noWrap/>
            <w:vAlign w:val="bottom"/>
            <w:hideMark/>
          </w:tcPr>
          <w:p w14:paraId="7AD6D35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5</w:t>
            </w:r>
          </w:p>
        </w:tc>
        <w:tc>
          <w:tcPr>
            <w:tcW w:w="755" w:type="dxa"/>
            <w:tcBorders>
              <w:top w:val="nil"/>
              <w:left w:val="nil"/>
              <w:bottom w:val="nil"/>
              <w:right w:val="nil"/>
            </w:tcBorders>
            <w:shd w:val="clear" w:color="auto" w:fill="auto"/>
            <w:noWrap/>
            <w:vAlign w:val="bottom"/>
            <w:hideMark/>
          </w:tcPr>
          <w:p w14:paraId="1E75F3E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nil"/>
            </w:tcBorders>
            <w:shd w:val="clear" w:color="auto" w:fill="auto"/>
            <w:noWrap/>
            <w:vAlign w:val="bottom"/>
            <w:hideMark/>
          </w:tcPr>
          <w:p w14:paraId="2E1B2D0E"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0.15</w:t>
            </w:r>
          </w:p>
        </w:tc>
        <w:tc>
          <w:tcPr>
            <w:tcW w:w="755" w:type="dxa"/>
            <w:tcBorders>
              <w:top w:val="nil"/>
              <w:left w:val="nil"/>
              <w:bottom w:val="nil"/>
              <w:right w:val="nil"/>
            </w:tcBorders>
            <w:shd w:val="clear" w:color="auto" w:fill="auto"/>
            <w:noWrap/>
            <w:vAlign w:val="bottom"/>
            <w:hideMark/>
          </w:tcPr>
          <w:p w14:paraId="639C2BC7"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0.125</w:t>
            </w:r>
          </w:p>
        </w:tc>
      </w:tr>
      <w:tr w:rsidR="00C33685" w:rsidRPr="009E7F75" w14:paraId="49A4B8F6"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6A6DAFDC"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H</w:t>
            </w:r>
          </w:p>
        </w:tc>
        <w:tc>
          <w:tcPr>
            <w:tcW w:w="448" w:type="dxa"/>
            <w:tcBorders>
              <w:top w:val="nil"/>
              <w:left w:val="single" w:sz="4" w:space="0" w:color="auto"/>
              <w:bottom w:val="nil"/>
              <w:right w:val="nil"/>
            </w:tcBorders>
            <w:shd w:val="clear" w:color="auto" w:fill="auto"/>
            <w:noWrap/>
            <w:vAlign w:val="bottom"/>
            <w:hideMark/>
          </w:tcPr>
          <w:p w14:paraId="0D00783F"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446" w:type="dxa"/>
            <w:tcBorders>
              <w:top w:val="nil"/>
              <w:left w:val="nil"/>
              <w:bottom w:val="nil"/>
              <w:right w:val="nil"/>
            </w:tcBorders>
            <w:shd w:val="clear" w:color="auto" w:fill="auto"/>
            <w:noWrap/>
            <w:vAlign w:val="bottom"/>
            <w:hideMark/>
          </w:tcPr>
          <w:p w14:paraId="6611BCE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658" w:type="dxa"/>
            <w:tcBorders>
              <w:top w:val="nil"/>
              <w:left w:val="nil"/>
              <w:bottom w:val="nil"/>
              <w:right w:val="nil"/>
            </w:tcBorders>
            <w:shd w:val="clear" w:color="auto" w:fill="auto"/>
            <w:noWrap/>
            <w:vAlign w:val="bottom"/>
            <w:hideMark/>
          </w:tcPr>
          <w:p w14:paraId="51882C8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755" w:type="dxa"/>
            <w:tcBorders>
              <w:top w:val="nil"/>
              <w:left w:val="nil"/>
              <w:bottom w:val="nil"/>
              <w:right w:val="nil"/>
            </w:tcBorders>
            <w:shd w:val="clear" w:color="auto" w:fill="auto"/>
            <w:noWrap/>
            <w:vAlign w:val="bottom"/>
            <w:hideMark/>
          </w:tcPr>
          <w:p w14:paraId="7022002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nil"/>
            </w:tcBorders>
            <w:shd w:val="clear" w:color="auto" w:fill="auto"/>
            <w:noWrap/>
            <w:vAlign w:val="bottom"/>
            <w:hideMark/>
          </w:tcPr>
          <w:p w14:paraId="636BC2D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755" w:type="dxa"/>
            <w:tcBorders>
              <w:top w:val="nil"/>
              <w:left w:val="nil"/>
              <w:bottom w:val="nil"/>
              <w:right w:val="single" w:sz="4" w:space="0" w:color="auto"/>
            </w:tcBorders>
            <w:shd w:val="clear" w:color="auto" w:fill="auto"/>
            <w:noWrap/>
            <w:vAlign w:val="bottom"/>
            <w:hideMark/>
          </w:tcPr>
          <w:p w14:paraId="381E6548"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0.05</w:t>
            </w:r>
          </w:p>
        </w:tc>
        <w:tc>
          <w:tcPr>
            <w:tcW w:w="448" w:type="dxa"/>
            <w:tcBorders>
              <w:top w:val="nil"/>
              <w:left w:val="single" w:sz="4" w:space="0" w:color="auto"/>
              <w:bottom w:val="nil"/>
              <w:right w:val="nil"/>
            </w:tcBorders>
            <w:shd w:val="clear" w:color="auto" w:fill="auto"/>
            <w:noWrap/>
            <w:vAlign w:val="bottom"/>
            <w:hideMark/>
          </w:tcPr>
          <w:p w14:paraId="0120575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446" w:type="dxa"/>
            <w:tcBorders>
              <w:top w:val="nil"/>
              <w:left w:val="nil"/>
              <w:bottom w:val="nil"/>
              <w:right w:val="nil"/>
            </w:tcBorders>
            <w:shd w:val="clear" w:color="auto" w:fill="auto"/>
            <w:noWrap/>
            <w:vAlign w:val="bottom"/>
            <w:hideMark/>
          </w:tcPr>
          <w:p w14:paraId="50C2A84C"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658" w:type="dxa"/>
            <w:tcBorders>
              <w:top w:val="nil"/>
              <w:left w:val="nil"/>
              <w:bottom w:val="nil"/>
              <w:right w:val="nil"/>
            </w:tcBorders>
            <w:shd w:val="clear" w:color="auto" w:fill="auto"/>
            <w:noWrap/>
            <w:vAlign w:val="bottom"/>
            <w:hideMark/>
          </w:tcPr>
          <w:p w14:paraId="56BF5EB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8</w:t>
            </w:r>
          </w:p>
        </w:tc>
        <w:tc>
          <w:tcPr>
            <w:tcW w:w="755" w:type="dxa"/>
            <w:tcBorders>
              <w:top w:val="nil"/>
              <w:left w:val="nil"/>
              <w:bottom w:val="nil"/>
              <w:right w:val="nil"/>
            </w:tcBorders>
            <w:shd w:val="clear" w:color="auto" w:fill="auto"/>
            <w:noWrap/>
            <w:vAlign w:val="bottom"/>
            <w:hideMark/>
          </w:tcPr>
          <w:p w14:paraId="06A0DE5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nil"/>
            </w:tcBorders>
            <w:shd w:val="clear" w:color="auto" w:fill="auto"/>
            <w:noWrap/>
            <w:vAlign w:val="bottom"/>
            <w:hideMark/>
          </w:tcPr>
          <w:p w14:paraId="647E2C88"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nil"/>
            </w:tcBorders>
            <w:shd w:val="clear" w:color="auto" w:fill="auto"/>
            <w:noWrap/>
            <w:vAlign w:val="bottom"/>
            <w:hideMark/>
          </w:tcPr>
          <w:p w14:paraId="577F4C7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r>
      <w:tr w:rsidR="00C33685" w:rsidRPr="009E7F75" w14:paraId="20AEF9C5"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4F587F65"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I</w:t>
            </w:r>
          </w:p>
        </w:tc>
        <w:tc>
          <w:tcPr>
            <w:tcW w:w="448" w:type="dxa"/>
            <w:tcBorders>
              <w:top w:val="nil"/>
              <w:left w:val="single" w:sz="4" w:space="0" w:color="auto"/>
              <w:bottom w:val="nil"/>
              <w:right w:val="nil"/>
            </w:tcBorders>
            <w:shd w:val="clear" w:color="auto" w:fill="auto"/>
            <w:noWrap/>
            <w:vAlign w:val="bottom"/>
            <w:hideMark/>
          </w:tcPr>
          <w:p w14:paraId="111C3137"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446" w:type="dxa"/>
            <w:tcBorders>
              <w:top w:val="nil"/>
              <w:left w:val="nil"/>
              <w:bottom w:val="nil"/>
              <w:right w:val="nil"/>
            </w:tcBorders>
            <w:shd w:val="clear" w:color="auto" w:fill="auto"/>
            <w:noWrap/>
            <w:vAlign w:val="bottom"/>
            <w:hideMark/>
          </w:tcPr>
          <w:p w14:paraId="0198D79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658" w:type="dxa"/>
            <w:tcBorders>
              <w:top w:val="nil"/>
              <w:left w:val="nil"/>
              <w:bottom w:val="nil"/>
              <w:right w:val="nil"/>
            </w:tcBorders>
            <w:shd w:val="clear" w:color="auto" w:fill="auto"/>
            <w:noWrap/>
            <w:vAlign w:val="bottom"/>
            <w:hideMark/>
          </w:tcPr>
          <w:p w14:paraId="5F9254D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nil"/>
            </w:tcBorders>
            <w:shd w:val="clear" w:color="auto" w:fill="auto"/>
            <w:noWrap/>
            <w:vAlign w:val="bottom"/>
            <w:hideMark/>
          </w:tcPr>
          <w:p w14:paraId="0BCE091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nil"/>
            </w:tcBorders>
            <w:shd w:val="clear" w:color="auto" w:fill="auto"/>
            <w:noWrap/>
            <w:vAlign w:val="bottom"/>
            <w:hideMark/>
          </w:tcPr>
          <w:p w14:paraId="7A405B4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755" w:type="dxa"/>
            <w:tcBorders>
              <w:top w:val="nil"/>
              <w:left w:val="nil"/>
              <w:bottom w:val="nil"/>
              <w:right w:val="single" w:sz="4" w:space="0" w:color="auto"/>
            </w:tcBorders>
            <w:shd w:val="clear" w:color="auto" w:fill="auto"/>
            <w:noWrap/>
            <w:vAlign w:val="bottom"/>
            <w:hideMark/>
          </w:tcPr>
          <w:p w14:paraId="11FA800C"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w:t>
            </w:r>
          </w:p>
        </w:tc>
        <w:tc>
          <w:tcPr>
            <w:tcW w:w="448" w:type="dxa"/>
            <w:tcBorders>
              <w:top w:val="nil"/>
              <w:left w:val="single" w:sz="4" w:space="0" w:color="auto"/>
              <w:bottom w:val="nil"/>
              <w:right w:val="nil"/>
            </w:tcBorders>
            <w:shd w:val="clear" w:color="auto" w:fill="auto"/>
            <w:noWrap/>
            <w:vAlign w:val="bottom"/>
            <w:hideMark/>
          </w:tcPr>
          <w:p w14:paraId="520F0A5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446" w:type="dxa"/>
            <w:tcBorders>
              <w:top w:val="nil"/>
              <w:left w:val="nil"/>
              <w:bottom w:val="nil"/>
              <w:right w:val="nil"/>
            </w:tcBorders>
            <w:shd w:val="clear" w:color="auto" w:fill="auto"/>
            <w:noWrap/>
            <w:vAlign w:val="bottom"/>
            <w:hideMark/>
          </w:tcPr>
          <w:p w14:paraId="260BF44F"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658" w:type="dxa"/>
            <w:tcBorders>
              <w:top w:val="nil"/>
              <w:left w:val="nil"/>
              <w:bottom w:val="nil"/>
              <w:right w:val="nil"/>
            </w:tcBorders>
            <w:shd w:val="clear" w:color="auto" w:fill="auto"/>
            <w:noWrap/>
            <w:vAlign w:val="bottom"/>
            <w:hideMark/>
          </w:tcPr>
          <w:p w14:paraId="33A85297"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755" w:type="dxa"/>
            <w:tcBorders>
              <w:top w:val="nil"/>
              <w:left w:val="nil"/>
              <w:bottom w:val="nil"/>
              <w:right w:val="nil"/>
            </w:tcBorders>
            <w:shd w:val="clear" w:color="auto" w:fill="auto"/>
            <w:noWrap/>
            <w:vAlign w:val="bottom"/>
            <w:hideMark/>
          </w:tcPr>
          <w:p w14:paraId="5B75472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nil"/>
            </w:tcBorders>
            <w:shd w:val="clear" w:color="auto" w:fill="auto"/>
            <w:noWrap/>
            <w:vAlign w:val="bottom"/>
            <w:hideMark/>
          </w:tcPr>
          <w:p w14:paraId="3D380E12"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755" w:type="dxa"/>
            <w:tcBorders>
              <w:top w:val="nil"/>
              <w:left w:val="nil"/>
              <w:bottom w:val="nil"/>
              <w:right w:val="nil"/>
            </w:tcBorders>
            <w:shd w:val="clear" w:color="auto" w:fill="auto"/>
            <w:noWrap/>
            <w:vAlign w:val="bottom"/>
            <w:hideMark/>
          </w:tcPr>
          <w:p w14:paraId="2A808D0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0.05</w:t>
            </w:r>
          </w:p>
        </w:tc>
      </w:tr>
      <w:tr w:rsidR="00C33685" w:rsidRPr="009E7F75" w14:paraId="1EA3BA67" w14:textId="77777777" w:rsidTr="00C33685">
        <w:trPr>
          <w:trHeight w:val="300"/>
          <w:jc w:val="center"/>
        </w:trPr>
        <w:tc>
          <w:tcPr>
            <w:tcW w:w="866" w:type="dxa"/>
            <w:tcBorders>
              <w:top w:val="nil"/>
              <w:left w:val="nil"/>
              <w:bottom w:val="nil"/>
              <w:right w:val="single" w:sz="4" w:space="0" w:color="auto"/>
            </w:tcBorders>
            <w:shd w:val="clear" w:color="auto" w:fill="auto"/>
            <w:noWrap/>
            <w:vAlign w:val="bottom"/>
            <w:hideMark/>
          </w:tcPr>
          <w:p w14:paraId="73B0C531" w14:textId="77777777" w:rsidR="00C33685" w:rsidRPr="009E7F75" w:rsidRDefault="00C33685" w:rsidP="00C22CD5">
            <w:pPr>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J</w:t>
            </w:r>
          </w:p>
        </w:tc>
        <w:tc>
          <w:tcPr>
            <w:tcW w:w="448" w:type="dxa"/>
            <w:tcBorders>
              <w:top w:val="nil"/>
              <w:left w:val="single" w:sz="4" w:space="0" w:color="auto"/>
              <w:bottom w:val="nil"/>
              <w:right w:val="nil"/>
            </w:tcBorders>
            <w:shd w:val="clear" w:color="auto" w:fill="auto"/>
            <w:noWrap/>
            <w:vAlign w:val="bottom"/>
            <w:hideMark/>
          </w:tcPr>
          <w:p w14:paraId="5F89E5B4"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446" w:type="dxa"/>
            <w:tcBorders>
              <w:top w:val="nil"/>
              <w:left w:val="nil"/>
              <w:bottom w:val="nil"/>
              <w:right w:val="nil"/>
            </w:tcBorders>
            <w:shd w:val="clear" w:color="auto" w:fill="auto"/>
            <w:noWrap/>
            <w:vAlign w:val="bottom"/>
            <w:hideMark/>
          </w:tcPr>
          <w:p w14:paraId="483E22CD"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658" w:type="dxa"/>
            <w:tcBorders>
              <w:top w:val="nil"/>
              <w:left w:val="nil"/>
              <w:bottom w:val="nil"/>
              <w:right w:val="nil"/>
            </w:tcBorders>
            <w:shd w:val="clear" w:color="auto" w:fill="auto"/>
            <w:noWrap/>
            <w:vAlign w:val="bottom"/>
            <w:hideMark/>
          </w:tcPr>
          <w:p w14:paraId="12C9E858"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2</w:t>
            </w:r>
          </w:p>
        </w:tc>
        <w:tc>
          <w:tcPr>
            <w:tcW w:w="755" w:type="dxa"/>
            <w:tcBorders>
              <w:top w:val="nil"/>
              <w:left w:val="nil"/>
              <w:bottom w:val="nil"/>
              <w:right w:val="nil"/>
            </w:tcBorders>
            <w:shd w:val="clear" w:color="auto" w:fill="auto"/>
            <w:noWrap/>
            <w:vAlign w:val="bottom"/>
            <w:hideMark/>
          </w:tcPr>
          <w:p w14:paraId="66E3319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w:t>
            </w:r>
          </w:p>
        </w:tc>
        <w:tc>
          <w:tcPr>
            <w:tcW w:w="755" w:type="dxa"/>
            <w:tcBorders>
              <w:top w:val="nil"/>
              <w:left w:val="nil"/>
              <w:bottom w:val="nil"/>
              <w:right w:val="nil"/>
            </w:tcBorders>
            <w:shd w:val="clear" w:color="auto" w:fill="auto"/>
            <w:noWrap/>
            <w:vAlign w:val="bottom"/>
            <w:hideMark/>
          </w:tcPr>
          <w:p w14:paraId="34F23B7B"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0.1</w:t>
            </w:r>
          </w:p>
        </w:tc>
        <w:tc>
          <w:tcPr>
            <w:tcW w:w="755" w:type="dxa"/>
            <w:tcBorders>
              <w:top w:val="nil"/>
              <w:left w:val="nil"/>
              <w:bottom w:val="nil"/>
              <w:right w:val="single" w:sz="4" w:space="0" w:color="auto"/>
            </w:tcBorders>
            <w:shd w:val="clear" w:color="auto" w:fill="auto"/>
            <w:noWrap/>
            <w:vAlign w:val="bottom"/>
            <w:hideMark/>
          </w:tcPr>
          <w:p w14:paraId="4BE0BE6A"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0.05</w:t>
            </w:r>
          </w:p>
        </w:tc>
        <w:tc>
          <w:tcPr>
            <w:tcW w:w="448" w:type="dxa"/>
            <w:tcBorders>
              <w:top w:val="nil"/>
              <w:left w:val="single" w:sz="4" w:space="0" w:color="auto"/>
              <w:bottom w:val="nil"/>
              <w:right w:val="nil"/>
            </w:tcBorders>
            <w:shd w:val="clear" w:color="auto" w:fill="auto"/>
            <w:noWrap/>
            <w:vAlign w:val="bottom"/>
            <w:hideMark/>
          </w:tcPr>
          <w:p w14:paraId="07F5D575"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4</w:t>
            </w:r>
          </w:p>
        </w:tc>
        <w:tc>
          <w:tcPr>
            <w:tcW w:w="446" w:type="dxa"/>
            <w:tcBorders>
              <w:top w:val="nil"/>
              <w:left w:val="nil"/>
              <w:bottom w:val="nil"/>
              <w:right w:val="nil"/>
            </w:tcBorders>
            <w:shd w:val="clear" w:color="auto" w:fill="auto"/>
            <w:noWrap/>
            <w:vAlign w:val="bottom"/>
            <w:hideMark/>
          </w:tcPr>
          <w:p w14:paraId="7D0AA106"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6</w:t>
            </w:r>
          </w:p>
        </w:tc>
        <w:tc>
          <w:tcPr>
            <w:tcW w:w="658" w:type="dxa"/>
            <w:tcBorders>
              <w:top w:val="nil"/>
              <w:left w:val="nil"/>
              <w:bottom w:val="nil"/>
              <w:right w:val="nil"/>
            </w:tcBorders>
            <w:shd w:val="clear" w:color="auto" w:fill="auto"/>
            <w:noWrap/>
            <w:vAlign w:val="bottom"/>
            <w:hideMark/>
          </w:tcPr>
          <w:p w14:paraId="1BD053E0"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10</w:t>
            </w:r>
          </w:p>
        </w:tc>
        <w:tc>
          <w:tcPr>
            <w:tcW w:w="755" w:type="dxa"/>
            <w:tcBorders>
              <w:top w:val="nil"/>
              <w:left w:val="nil"/>
              <w:bottom w:val="nil"/>
              <w:right w:val="nil"/>
            </w:tcBorders>
            <w:shd w:val="clear" w:color="auto" w:fill="auto"/>
            <w:noWrap/>
            <w:vAlign w:val="bottom"/>
            <w:hideMark/>
          </w:tcPr>
          <w:p w14:paraId="222E730C"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0.4</w:t>
            </w:r>
          </w:p>
        </w:tc>
        <w:tc>
          <w:tcPr>
            <w:tcW w:w="755" w:type="dxa"/>
            <w:tcBorders>
              <w:top w:val="nil"/>
              <w:left w:val="nil"/>
              <w:bottom w:val="nil"/>
              <w:right w:val="nil"/>
            </w:tcBorders>
            <w:shd w:val="clear" w:color="auto" w:fill="auto"/>
            <w:noWrap/>
            <w:vAlign w:val="bottom"/>
            <w:hideMark/>
          </w:tcPr>
          <w:p w14:paraId="6B004F73" w14:textId="77777777" w:rsidR="00C33685" w:rsidRPr="009E7F75" w:rsidRDefault="00C33685" w:rsidP="00C22CD5">
            <w:pPr>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0.3</w:t>
            </w:r>
          </w:p>
        </w:tc>
        <w:tc>
          <w:tcPr>
            <w:tcW w:w="755" w:type="dxa"/>
            <w:tcBorders>
              <w:top w:val="nil"/>
              <w:left w:val="nil"/>
              <w:bottom w:val="nil"/>
              <w:right w:val="nil"/>
            </w:tcBorders>
            <w:shd w:val="clear" w:color="auto" w:fill="auto"/>
            <w:noWrap/>
            <w:vAlign w:val="bottom"/>
            <w:hideMark/>
          </w:tcPr>
          <w:p w14:paraId="05F4E28C" w14:textId="77777777" w:rsidR="00C33685" w:rsidRPr="009E7F75" w:rsidRDefault="00C33685" w:rsidP="00C22CD5">
            <w:pPr>
              <w:keepNext/>
              <w:jc w:val="right"/>
              <w:rPr>
                <w:rFonts w:ascii="Calibri" w:eastAsia="Times New Roman" w:hAnsi="Calibri" w:cs="Times New Roman"/>
                <w:color w:val="000000"/>
                <w:sz w:val="20"/>
                <w:szCs w:val="20"/>
              </w:rPr>
            </w:pPr>
            <w:r w:rsidRPr="009E7F75">
              <w:rPr>
                <w:rFonts w:ascii="Calibri" w:eastAsia="Times New Roman" w:hAnsi="Calibri" w:cs="Times New Roman"/>
                <w:color w:val="000000"/>
                <w:sz w:val="20"/>
                <w:szCs w:val="20"/>
              </w:rPr>
              <w:t>0.25</w:t>
            </w:r>
          </w:p>
        </w:tc>
      </w:tr>
    </w:tbl>
    <w:p w14:paraId="0A32B4F9" w14:textId="77777777" w:rsidR="00984073" w:rsidRPr="00C14F4C" w:rsidRDefault="00984073" w:rsidP="00984073">
      <w:pPr>
        <w:pStyle w:val="Caption"/>
        <w:rPr>
          <w:rFonts w:ascii="Cambria" w:hAnsi="Cambria" w:cs="Cambria"/>
          <w:b w:val="0"/>
          <w:color w:val="auto"/>
        </w:rPr>
      </w:pPr>
      <w:r w:rsidRPr="00C14F4C">
        <w:rPr>
          <w:b w:val="0"/>
          <w:color w:val="auto"/>
        </w:rPr>
        <w:t xml:space="preserve">Table </w:t>
      </w:r>
      <w:r w:rsidRPr="00C14F4C">
        <w:rPr>
          <w:b w:val="0"/>
          <w:color w:val="auto"/>
        </w:rPr>
        <w:fldChar w:fldCharType="begin"/>
      </w:r>
      <w:r w:rsidRPr="00C14F4C">
        <w:rPr>
          <w:b w:val="0"/>
          <w:color w:val="auto"/>
        </w:rPr>
        <w:instrText xml:space="preserve"> SEQ Table \* ARABIC </w:instrText>
      </w:r>
      <w:r w:rsidRPr="00C14F4C">
        <w:rPr>
          <w:b w:val="0"/>
          <w:color w:val="auto"/>
        </w:rPr>
        <w:fldChar w:fldCharType="separate"/>
      </w:r>
      <w:r w:rsidR="00C22CD5">
        <w:rPr>
          <w:b w:val="0"/>
          <w:noProof/>
          <w:color w:val="auto"/>
        </w:rPr>
        <w:t>2</w:t>
      </w:r>
      <w:r w:rsidRPr="00C14F4C">
        <w:rPr>
          <w:b w:val="0"/>
          <w:color w:val="auto"/>
        </w:rPr>
        <w:fldChar w:fldCharType="end"/>
      </w:r>
      <w:r w:rsidRPr="00C14F4C">
        <w:rPr>
          <w:b w:val="0"/>
          <w:color w:val="auto"/>
        </w:rPr>
        <w:t>: Poverty measures for each economy at the two poverty lines. HC = head count, PG = poverty gap, PG</w:t>
      </w:r>
      <w:r w:rsidRPr="00C14F4C">
        <w:rPr>
          <w:b w:val="0"/>
          <w:color w:val="auto"/>
          <w:vertAlign w:val="superscript"/>
        </w:rPr>
        <w:t>2</w:t>
      </w:r>
      <w:r w:rsidRPr="00C14F4C">
        <w:rPr>
          <w:b w:val="0"/>
          <w:color w:val="auto"/>
        </w:rPr>
        <w:t xml:space="preserve"> = poverty gap-squared, FGT(.) corresponds to the Foster-Greer-Thorbecke measure for each economy at the relevant poverty line</w:t>
      </w:r>
      <w:r>
        <w:rPr>
          <w:b w:val="0"/>
          <w:color w:val="auto"/>
        </w:rPr>
        <w:t xml:space="preserve"> (z = 2, 3) for each of </w:t>
      </w:r>
      <w:r>
        <w:rPr>
          <w:rFonts w:ascii="Cambria" w:hAnsi="Cambria"/>
          <w:b w:val="0"/>
          <w:color w:val="auto"/>
        </w:rPr>
        <w:t>α = 0, 1, 2.</w:t>
      </w:r>
    </w:p>
    <w:p w14:paraId="565566BC" w14:textId="77777777" w:rsidR="00984073" w:rsidRDefault="00984073" w:rsidP="00984073">
      <w:pPr>
        <w:pStyle w:val="Heading2"/>
      </w:pPr>
      <w:r>
        <w:lastRenderedPageBreak/>
        <w:t>Inequality</w:t>
      </w:r>
    </w:p>
    <w:p w14:paraId="25530F91" w14:textId="424FD6DA" w:rsidR="00984073" w:rsidRDefault="00984073" w:rsidP="00984073">
      <w:r>
        <w:t xml:space="preserve">As discussed earlier, there are two main measures of income inequality that I refer to in the course: the well-established Gini </w:t>
      </w:r>
      <w:r w:rsidR="00016753">
        <w:t>index</w:t>
      </w:r>
      <w:r>
        <w:t xml:space="preserve"> and the lesser known, but upcoming Palma measure proposed by the Center for Global Development. </w:t>
      </w:r>
    </w:p>
    <w:p w14:paraId="7E88FC46" w14:textId="77777777" w:rsidR="00984073" w:rsidRDefault="00984073" w:rsidP="00984073"/>
    <w:p w14:paraId="6842F806" w14:textId="00936697" w:rsidR="00984073" w:rsidRDefault="00984073" w:rsidP="00984073">
      <w:r>
        <w:t xml:space="preserve">Students can very intuitively </w:t>
      </w:r>
      <w:r w:rsidR="00F633B8">
        <w:t>grasp how</w:t>
      </w:r>
      <w:r>
        <w:t xml:space="preserve"> the Palma measure, taking the income of the top decile and dividing it by the sum of incomes by the bottom four deciles</w:t>
      </w:r>
      <w:r w:rsidR="00F633B8">
        <w:t xml:space="preserve">, provides a useful measure of inequality when judging inequality as the dispersion of income between the poorest and the richest </w:t>
      </w:r>
      <w:r w:rsidR="00AD0B47">
        <w:t>parts of an economy (in terms of either income or wealth)</w:t>
      </w:r>
      <w:r>
        <w:t xml:space="preserve">.  The </w:t>
      </w:r>
      <w:r w:rsidR="00F633B8">
        <w:t>idea</w:t>
      </w:r>
      <w:r>
        <w:t xml:space="preserve"> that a higher Palma corresponds to more inequality is intuitive to them. </w:t>
      </w:r>
    </w:p>
    <w:p w14:paraId="6C31DBEA" w14:textId="77777777" w:rsidR="00984073" w:rsidRDefault="00984073" w:rsidP="00984073"/>
    <w:p w14:paraId="4FCE82C3" w14:textId="77777777" w:rsidR="00984073" w:rsidRDefault="00984073" w:rsidP="00984073">
      <w:r>
        <w:t xml:space="preserve">As with the poverty exercise, the main emphasis in the inequality exercise is for students to achieve the following </w:t>
      </w:r>
    </w:p>
    <w:p w14:paraId="407B5C44" w14:textId="689AE68D" w:rsidR="00984073" w:rsidRDefault="00984073" w:rsidP="00984073">
      <w:pPr>
        <w:pStyle w:val="ListParagraph"/>
        <w:numPr>
          <w:ilvl w:val="0"/>
          <w:numId w:val="7"/>
        </w:numPr>
      </w:pPr>
      <w:r>
        <w:t xml:space="preserve">Find a line of equality and sketch that line, therefore computing area B for the Gini </w:t>
      </w:r>
      <w:r w:rsidR="00016753">
        <w:t>index</w:t>
      </w:r>
    </w:p>
    <w:p w14:paraId="578F65FB" w14:textId="199476CC" w:rsidR="00984073" w:rsidRDefault="00984073" w:rsidP="00984073">
      <w:pPr>
        <w:pStyle w:val="ListParagraph"/>
        <w:numPr>
          <w:ilvl w:val="0"/>
          <w:numId w:val="7"/>
        </w:numPr>
      </w:pPr>
      <w:r>
        <w:t xml:space="preserve">Find each decile’s income share and sketch that as a bar chart or line graph, therefore using it to find the value of area A as one would to calculate the Gini </w:t>
      </w:r>
      <w:r w:rsidR="00016753">
        <w:t>index</w:t>
      </w:r>
      <w:r>
        <w:t xml:space="preserve"> (the area under the line of equality minus the cumulative share at that income share). </w:t>
      </w:r>
    </w:p>
    <w:p w14:paraId="334840C0" w14:textId="77777777" w:rsidR="00984073" w:rsidRDefault="00984073" w:rsidP="00984073">
      <w:pPr>
        <w:pStyle w:val="ListParagraph"/>
        <w:numPr>
          <w:ilvl w:val="0"/>
          <w:numId w:val="7"/>
        </w:numPr>
      </w:pPr>
      <w:r>
        <w:t>Use the income shares to compute the Palma</w:t>
      </w:r>
    </w:p>
    <w:p w14:paraId="75E8D52C" w14:textId="77777777" w:rsidR="00984073" w:rsidRDefault="00984073" w:rsidP="00984073"/>
    <w:p w14:paraId="0046E782" w14:textId="77777777" w:rsidR="00984073" w:rsidRDefault="00984073" w:rsidP="00984073">
      <w:r>
        <w:t xml:space="preserve">For all students, step 1 is normally intuitive and easy. If the total GDP in an economy is, for example, $100, then all students understand pretty quickly that the lowest 10% should have $10, the lowest two should accumulate $20, etc. Because the numbers provided to them in the toy economies are relatively small they can either compute the line of equality using fractions or a calculator. </w:t>
      </w:r>
    </w:p>
    <w:p w14:paraId="3B2C16B5" w14:textId="77777777" w:rsidR="00984073" w:rsidRDefault="00984073" w:rsidP="00984073"/>
    <w:p w14:paraId="256FE53D" w14:textId="224931D6" w:rsidR="00984073" w:rsidRPr="00E837BB" w:rsidRDefault="00984073" w:rsidP="00984073">
      <w:r>
        <w:t xml:space="preserve">Step two has been more challenging and requires students accurately to consider what a cumulative share means </w:t>
      </w:r>
      <w:r>
        <w:rPr>
          <w:i/>
        </w:rPr>
        <w:t>empirically</w:t>
      </w:r>
      <w:r>
        <w:t xml:space="preserve">. Consider economy D as an example. The total income is 50. The bottom person’s income is 1, meaning their cumulative share is 1/50 = 0.02.  If the poorest 10% were to have had an equal share of 5/50 = 0.1, then they would require an additional 4/50 = 0.08 of income. Therefore, the portion of area A (for the Gini </w:t>
      </w:r>
      <w:r w:rsidR="00016753">
        <w:t>index</w:t>
      </w:r>
      <w:r>
        <w:t xml:space="preserve">) for the lowest 10% is 4/50. This share of A needs to be computed for each of the ten shares, it is then summed over the ten shares to find a total area of A. This total area A must be divided by the total area of B (the area under the line of perfect equality). If each ten percentage point share is given its share, then the total area of A + B is 5.5 (the area under the line of perfect equality). Each economy’s share of A divided by 5.5 results in the country’s Gini Index, as shown in Table 4. Students in their groups, in calculating the Gini Index values, will likely sketch Lorenz curves that look approximately like those in Figure 1, which shows each artificial economy’s Lorenz curve compared with a line of perfect equality. </w:t>
      </w:r>
    </w:p>
    <w:p w14:paraId="50BA21F6" w14:textId="77777777" w:rsidR="00984073" w:rsidRDefault="00984073" w:rsidP="00984073"/>
    <w:p w14:paraId="0FB5BB2E" w14:textId="77777777" w:rsidR="00984073" w:rsidRDefault="00984073" w:rsidP="00984073">
      <w:r>
        <w:lastRenderedPageBreak/>
        <w:t xml:space="preserve">Having completed these exercises, students are put in groups and re-paired to identify the following learning outcomes: </w:t>
      </w:r>
    </w:p>
    <w:p w14:paraId="49DA7AE6" w14:textId="77777777" w:rsidR="00984073" w:rsidRDefault="00984073" w:rsidP="00984073">
      <w:pPr>
        <w:pStyle w:val="ListParagraph"/>
        <w:numPr>
          <w:ilvl w:val="0"/>
          <w:numId w:val="9"/>
        </w:numPr>
      </w:pPr>
      <w:r>
        <w:t xml:space="preserve">Countries with the same/similar incomes can have different levels of inequality. </w:t>
      </w:r>
    </w:p>
    <w:p w14:paraId="5DA9A351" w14:textId="77777777" w:rsidR="00984073" w:rsidRDefault="00984073" w:rsidP="00984073">
      <w:pPr>
        <w:pStyle w:val="ListParagraph"/>
        <w:numPr>
          <w:ilvl w:val="0"/>
          <w:numId w:val="9"/>
        </w:numPr>
      </w:pPr>
      <w:r>
        <w:t xml:space="preserve">Countries with different total and per-capita incomes can have similar levels of inequality. </w:t>
      </w:r>
    </w:p>
    <w:p w14:paraId="4FEB4B7E" w14:textId="77777777" w:rsidR="00984073" w:rsidRDefault="00984073" w:rsidP="00984073">
      <w:pPr>
        <w:pStyle w:val="ListParagraph"/>
        <w:numPr>
          <w:ilvl w:val="0"/>
          <w:numId w:val="9"/>
        </w:numPr>
      </w:pPr>
      <w:r>
        <w:t xml:space="preserve">Fiscal policy to redistribute income can address income inequality. </w:t>
      </w:r>
    </w:p>
    <w:p w14:paraId="10BBFE4A" w14:textId="77777777" w:rsidR="00984073" w:rsidRDefault="00984073" w:rsidP="00984073"/>
    <w:p w14:paraId="1717045F" w14:textId="77777777" w:rsidR="00984073" w:rsidRDefault="00984073" w:rsidP="00984073"/>
    <w:tbl>
      <w:tblPr>
        <w:tblW w:w="7416" w:type="dxa"/>
        <w:tblInd w:w="108" w:type="dxa"/>
        <w:tblLook w:val="04A0" w:firstRow="1" w:lastRow="0" w:firstColumn="1" w:lastColumn="0" w:noHBand="0" w:noVBand="1"/>
      </w:tblPr>
      <w:tblGrid>
        <w:gridCol w:w="1596"/>
        <w:gridCol w:w="582"/>
        <w:gridCol w:w="582"/>
        <w:gridCol w:w="582"/>
        <w:gridCol w:w="582"/>
        <w:gridCol w:w="582"/>
        <w:gridCol w:w="582"/>
        <w:gridCol w:w="582"/>
        <w:gridCol w:w="582"/>
        <w:gridCol w:w="582"/>
        <w:gridCol w:w="582"/>
      </w:tblGrid>
      <w:tr w:rsidR="00984073" w:rsidRPr="0011612E" w14:paraId="0A8A4CF5" w14:textId="77777777" w:rsidTr="00F633B8">
        <w:trPr>
          <w:trHeight w:val="300"/>
        </w:trPr>
        <w:tc>
          <w:tcPr>
            <w:tcW w:w="1596" w:type="dxa"/>
            <w:tcBorders>
              <w:top w:val="nil"/>
              <w:left w:val="nil"/>
              <w:right w:val="single" w:sz="4" w:space="0" w:color="auto"/>
            </w:tcBorders>
            <w:shd w:val="clear" w:color="auto" w:fill="auto"/>
            <w:noWrap/>
            <w:vAlign w:val="bottom"/>
            <w:hideMark/>
          </w:tcPr>
          <w:p w14:paraId="690F7FC9" w14:textId="77777777" w:rsidR="00984073" w:rsidRPr="0011612E" w:rsidRDefault="00984073" w:rsidP="00C22CD5">
            <w:pPr>
              <w:rPr>
                <w:rFonts w:ascii="Calibri" w:eastAsia="Times New Roman" w:hAnsi="Calibri" w:cs="Times New Roman"/>
                <w:color w:val="000000"/>
                <w:sz w:val="20"/>
              </w:rPr>
            </w:pPr>
          </w:p>
        </w:tc>
        <w:tc>
          <w:tcPr>
            <w:tcW w:w="5820" w:type="dxa"/>
            <w:gridSpan w:val="10"/>
            <w:tcBorders>
              <w:top w:val="nil"/>
              <w:left w:val="single" w:sz="4" w:space="0" w:color="auto"/>
              <w:bottom w:val="nil"/>
              <w:right w:val="nil"/>
            </w:tcBorders>
            <w:shd w:val="clear" w:color="auto" w:fill="auto"/>
            <w:noWrap/>
            <w:vAlign w:val="bottom"/>
            <w:hideMark/>
          </w:tcPr>
          <w:p w14:paraId="12A6229B" w14:textId="77777777" w:rsidR="00984073" w:rsidRPr="0011612E" w:rsidRDefault="00984073" w:rsidP="00C22CD5">
            <w:pPr>
              <w:jc w:val="center"/>
              <w:rPr>
                <w:rFonts w:ascii="Calibri" w:eastAsia="Times New Roman" w:hAnsi="Calibri" w:cs="Times New Roman"/>
                <w:color w:val="000000"/>
                <w:sz w:val="20"/>
              </w:rPr>
            </w:pPr>
            <w:r w:rsidRPr="0011612E">
              <w:rPr>
                <w:rFonts w:ascii="Calibri" w:eastAsia="Times New Roman" w:hAnsi="Calibri" w:cs="Times New Roman"/>
                <w:color w:val="000000"/>
                <w:sz w:val="20"/>
              </w:rPr>
              <w:t>Cumulative Share of Income</w:t>
            </w:r>
          </w:p>
        </w:tc>
      </w:tr>
      <w:tr w:rsidR="00984073" w:rsidRPr="0011612E" w14:paraId="1630E51D" w14:textId="77777777" w:rsidTr="00F633B8">
        <w:trPr>
          <w:trHeight w:val="300"/>
        </w:trPr>
        <w:tc>
          <w:tcPr>
            <w:tcW w:w="1596" w:type="dxa"/>
            <w:tcBorders>
              <w:top w:val="nil"/>
              <w:left w:val="nil"/>
              <w:bottom w:val="single" w:sz="4" w:space="0" w:color="auto"/>
              <w:right w:val="single" w:sz="4" w:space="0" w:color="auto"/>
            </w:tcBorders>
            <w:shd w:val="clear" w:color="auto" w:fill="auto"/>
            <w:noWrap/>
            <w:vAlign w:val="bottom"/>
            <w:hideMark/>
          </w:tcPr>
          <w:p w14:paraId="76B712C4"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Country</w:t>
            </w:r>
          </w:p>
        </w:tc>
        <w:tc>
          <w:tcPr>
            <w:tcW w:w="582" w:type="dxa"/>
            <w:tcBorders>
              <w:top w:val="nil"/>
              <w:left w:val="single" w:sz="4" w:space="0" w:color="auto"/>
              <w:bottom w:val="single" w:sz="4" w:space="0" w:color="auto"/>
              <w:right w:val="nil"/>
            </w:tcBorders>
            <w:shd w:val="clear" w:color="auto" w:fill="auto"/>
            <w:noWrap/>
            <w:vAlign w:val="bottom"/>
            <w:hideMark/>
          </w:tcPr>
          <w:p w14:paraId="6857D92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w:t>
            </w:r>
          </w:p>
        </w:tc>
        <w:tc>
          <w:tcPr>
            <w:tcW w:w="582" w:type="dxa"/>
            <w:tcBorders>
              <w:top w:val="nil"/>
              <w:left w:val="nil"/>
              <w:bottom w:val="single" w:sz="4" w:space="0" w:color="auto"/>
              <w:right w:val="nil"/>
            </w:tcBorders>
            <w:shd w:val="clear" w:color="auto" w:fill="auto"/>
            <w:noWrap/>
            <w:vAlign w:val="bottom"/>
            <w:hideMark/>
          </w:tcPr>
          <w:p w14:paraId="0D3248A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20</w:t>
            </w:r>
          </w:p>
        </w:tc>
        <w:tc>
          <w:tcPr>
            <w:tcW w:w="582" w:type="dxa"/>
            <w:tcBorders>
              <w:top w:val="nil"/>
              <w:left w:val="nil"/>
              <w:bottom w:val="single" w:sz="4" w:space="0" w:color="auto"/>
              <w:right w:val="nil"/>
            </w:tcBorders>
            <w:shd w:val="clear" w:color="auto" w:fill="auto"/>
            <w:noWrap/>
            <w:vAlign w:val="bottom"/>
            <w:hideMark/>
          </w:tcPr>
          <w:p w14:paraId="5D1A94F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30</w:t>
            </w:r>
          </w:p>
        </w:tc>
        <w:tc>
          <w:tcPr>
            <w:tcW w:w="582" w:type="dxa"/>
            <w:tcBorders>
              <w:top w:val="nil"/>
              <w:left w:val="nil"/>
              <w:bottom w:val="single" w:sz="4" w:space="0" w:color="auto"/>
              <w:right w:val="nil"/>
            </w:tcBorders>
            <w:shd w:val="clear" w:color="auto" w:fill="auto"/>
            <w:noWrap/>
            <w:vAlign w:val="bottom"/>
            <w:hideMark/>
          </w:tcPr>
          <w:p w14:paraId="5FD2E26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40</w:t>
            </w:r>
          </w:p>
        </w:tc>
        <w:tc>
          <w:tcPr>
            <w:tcW w:w="582" w:type="dxa"/>
            <w:tcBorders>
              <w:top w:val="nil"/>
              <w:left w:val="nil"/>
              <w:bottom w:val="single" w:sz="4" w:space="0" w:color="auto"/>
              <w:right w:val="nil"/>
            </w:tcBorders>
            <w:shd w:val="clear" w:color="auto" w:fill="auto"/>
            <w:noWrap/>
            <w:vAlign w:val="bottom"/>
            <w:hideMark/>
          </w:tcPr>
          <w:p w14:paraId="3844C5F0"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50</w:t>
            </w:r>
          </w:p>
        </w:tc>
        <w:tc>
          <w:tcPr>
            <w:tcW w:w="582" w:type="dxa"/>
            <w:tcBorders>
              <w:top w:val="nil"/>
              <w:left w:val="nil"/>
              <w:bottom w:val="single" w:sz="4" w:space="0" w:color="auto"/>
              <w:right w:val="nil"/>
            </w:tcBorders>
            <w:shd w:val="clear" w:color="auto" w:fill="auto"/>
            <w:noWrap/>
            <w:vAlign w:val="bottom"/>
            <w:hideMark/>
          </w:tcPr>
          <w:p w14:paraId="416A625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60</w:t>
            </w:r>
          </w:p>
        </w:tc>
        <w:tc>
          <w:tcPr>
            <w:tcW w:w="582" w:type="dxa"/>
            <w:tcBorders>
              <w:top w:val="nil"/>
              <w:left w:val="nil"/>
              <w:bottom w:val="single" w:sz="4" w:space="0" w:color="auto"/>
              <w:right w:val="nil"/>
            </w:tcBorders>
            <w:shd w:val="clear" w:color="auto" w:fill="auto"/>
            <w:noWrap/>
            <w:vAlign w:val="bottom"/>
            <w:hideMark/>
          </w:tcPr>
          <w:p w14:paraId="294AF7B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70</w:t>
            </w:r>
          </w:p>
        </w:tc>
        <w:tc>
          <w:tcPr>
            <w:tcW w:w="582" w:type="dxa"/>
            <w:tcBorders>
              <w:top w:val="nil"/>
              <w:left w:val="nil"/>
              <w:bottom w:val="single" w:sz="4" w:space="0" w:color="auto"/>
              <w:right w:val="nil"/>
            </w:tcBorders>
            <w:shd w:val="clear" w:color="auto" w:fill="auto"/>
            <w:noWrap/>
            <w:vAlign w:val="bottom"/>
            <w:hideMark/>
          </w:tcPr>
          <w:p w14:paraId="3C0D56E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80</w:t>
            </w:r>
          </w:p>
        </w:tc>
        <w:tc>
          <w:tcPr>
            <w:tcW w:w="582" w:type="dxa"/>
            <w:tcBorders>
              <w:top w:val="nil"/>
              <w:left w:val="nil"/>
              <w:bottom w:val="single" w:sz="4" w:space="0" w:color="auto"/>
              <w:right w:val="nil"/>
            </w:tcBorders>
            <w:shd w:val="clear" w:color="auto" w:fill="auto"/>
            <w:noWrap/>
            <w:vAlign w:val="bottom"/>
            <w:hideMark/>
          </w:tcPr>
          <w:p w14:paraId="66CCDE8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90</w:t>
            </w:r>
          </w:p>
        </w:tc>
        <w:tc>
          <w:tcPr>
            <w:tcW w:w="582" w:type="dxa"/>
            <w:tcBorders>
              <w:top w:val="nil"/>
              <w:left w:val="nil"/>
              <w:bottom w:val="single" w:sz="4" w:space="0" w:color="auto"/>
              <w:right w:val="nil"/>
            </w:tcBorders>
            <w:shd w:val="clear" w:color="auto" w:fill="auto"/>
            <w:noWrap/>
            <w:vAlign w:val="bottom"/>
            <w:hideMark/>
          </w:tcPr>
          <w:p w14:paraId="5C8284E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352B6DBE" w14:textId="77777777" w:rsidTr="00F633B8">
        <w:trPr>
          <w:trHeight w:val="300"/>
        </w:trPr>
        <w:tc>
          <w:tcPr>
            <w:tcW w:w="1596" w:type="dxa"/>
            <w:tcBorders>
              <w:top w:val="single" w:sz="4" w:space="0" w:color="auto"/>
              <w:left w:val="nil"/>
              <w:bottom w:val="nil"/>
              <w:right w:val="single" w:sz="4" w:space="0" w:color="auto"/>
            </w:tcBorders>
            <w:shd w:val="clear" w:color="auto" w:fill="auto"/>
            <w:noWrap/>
            <w:vAlign w:val="bottom"/>
            <w:hideMark/>
          </w:tcPr>
          <w:p w14:paraId="6CD24B8B"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A</w:t>
            </w:r>
          </w:p>
        </w:tc>
        <w:tc>
          <w:tcPr>
            <w:tcW w:w="582" w:type="dxa"/>
            <w:tcBorders>
              <w:top w:val="single" w:sz="4" w:space="0" w:color="auto"/>
              <w:left w:val="single" w:sz="4" w:space="0" w:color="auto"/>
              <w:bottom w:val="nil"/>
              <w:right w:val="nil"/>
            </w:tcBorders>
            <w:shd w:val="clear" w:color="auto" w:fill="auto"/>
            <w:noWrap/>
            <w:vAlign w:val="bottom"/>
            <w:hideMark/>
          </w:tcPr>
          <w:p w14:paraId="5AA914A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0.03</w:t>
            </w:r>
          </w:p>
        </w:tc>
        <w:tc>
          <w:tcPr>
            <w:tcW w:w="582" w:type="dxa"/>
            <w:tcBorders>
              <w:top w:val="single" w:sz="4" w:space="0" w:color="auto"/>
              <w:left w:val="nil"/>
              <w:bottom w:val="nil"/>
              <w:right w:val="nil"/>
            </w:tcBorders>
            <w:shd w:val="clear" w:color="auto" w:fill="auto"/>
            <w:noWrap/>
            <w:vAlign w:val="bottom"/>
            <w:hideMark/>
          </w:tcPr>
          <w:p w14:paraId="238AEA0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0.06</w:t>
            </w:r>
          </w:p>
        </w:tc>
        <w:tc>
          <w:tcPr>
            <w:tcW w:w="582" w:type="dxa"/>
            <w:tcBorders>
              <w:top w:val="single" w:sz="4" w:space="0" w:color="auto"/>
              <w:left w:val="nil"/>
              <w:bottom w:val="nil"/>
              <w:right w:val="nil"/>
            </w:tcBorders>
            <w:shd w:val="clear" w:color="auto" w:fill="auto"/>
            <w:noWrap/>
            <w:vAlign w:val="bottom"/>
            <w:hideMark/>
          </w:tcPr>
          <w:p w14:paraId="23408BF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0.09</w:t>
            </w:r>
          </w:p>
        </w:tc>
        <w:tc>
          <w:tcPr>
            <w:tcW w:w="582" w:type="dxa"/>
            <w:tcBorders>
              <w:top w:val="single" w:sz="4" w:space="0" w:color="auto"/>
              <w:left w:val="nil"/>
              <w:bottom w:val="nil"/>
              <w:right w:val="nil"/>
            </w:tcBorders>
            <w:shd w:val="clear" w:color="auto" w:fill="auto"/>
            <w:noWrap/>
            <w:vAlign w:val="bottom"/>
            <w:hideMark/>
          </w:tcPr>
          <w:p w14:paraId="7E4788BB"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0.14</w:t>
            </w:r>
          </w:p>
        </w:tc>
        <w:tc>
          <w:tcPr>
            <w:tcW w:w="582" w:type="dxa"/>
            <w:tcBorders>
              <w:top w:val="single" w:sz="4" w:space="0" w:color="auto"/>
              <w:left w:val="nil"/>
              <w:bottom w:val="nil"/>
              <w:right w:val="nil"/>
            </w:tcBorders>
            <w:shd w:val="clear" w:color="auto" w:fill="auto"/>
            <w:noWrap/>
            <w:vAlign w:val="bottom"/>
            <w:hideMark/>
          </w:tcPr>
          <w:p w14:paraId="195558A2"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0.20</w:t>
            </w:r>
          </w:p>
        </w:tc>
        <w:tc>
          <w:tcPr>
            <w:tcW w:w="582" w:type="dxa"/>
            <w:tcBorders>
              <w:top w:val="single" w:sz="4" w:space="0" w:color="auto"/>
              <w:left w:val="nil"/>
              <w:bottom w:val="nil"/>
              <w:right w:val="nil"/>
            </w:tcBorders>
            <w:shd w:val="clear" w:color="auto" w:fill="auto"/>
            <w:noWrap/>
            <w:vAlign w:val="bottom"/>
            <w:hideMark/>
          </w:tcPr>
          <w:p w14:paraId="7A360B80"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0.29</w:t>
            </w:r>
          </w:p>
        </w:tc>
        <w:tc>
          <w:tcPr>
            <w:tcW w:w="582" w:type="dxa"/>
            <w:tcBorders>
              <w:top w:val="single" w:sz="4" w:space="0" w:color="auto"/>
              <w:left w:val="nil"/>
              <w:bottom w:val="nil"/>
              <w:right w:val="nil"/>
            </w:tcBorders>
            <w:shd w:val="clear" w:color="auto" w:fill="auto"/>
            <w:noWrap/>
            <w:vAlign w:val="bottom"/>
            <w:hideMark/>
          </w:tcPr>
          <w:p w14:paraId="066426BD"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0.40</w:t>
            </w:r>
          </w:p>
        </w:tc>
        <w:tc>
          <w:tcPr>
            <w:tcW w:w="582" w:type="dxa"/>
            <w:tcBorders>
              <w:top w:val="single" w:sz="4" w:space="0" w:color="auto"/>
              <w:left w:val="nil"/>
              <w:bottom w:val="nil"/>
              <w:right w:val="nil"/>
            </w:tcBorders>
            <w:shd w:val="clear" w:color="auto" w:fill="auto"/>
            <w:noWrap/>
            <w:vAlign w:val="bottom"/>
            <w:hideMark/>
          </w:tcPr>
          <w:p w14:paraId="4B2ED03D"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0.54</w:t>
            </w:r>
          </w:p>
        </w:tc>
        <w:tc>
          <w:tcPr>
            <w:tcW w:w="582" w:type="dxa"/>
            <w:tcBorders>
              <w:top w:val="single" w:sz="4" w:space="0" w:color="auto"/>
              <w:left w:val="nil"/>
              <w:bottom w:val="nil"/>
              <w:right w:val="nil"/>
            </w:tcBorders>
            <w:shd w:val="clear" w:color="auto" w:fill="auto"/>
            <w:noWrap/>
            <w:vAlign w:val="bottom"/>
            <w:hideMark/>
          </w:tcPr>
          <w:p w14:paraId="5DF79B1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0.71</w:t>
            </w:r>
          </w:p>
        </w:tc>
        <w:tc>
          <w:tcPr>
            <w:tcW w:w="582" w:type="dxa"/>
            <w:tcBorders>
              <w:top w:val="single" w:sz="4" w:space="0" w:color="auto"/>
              <w:left w:val="nil"/>
              <w:bottom w:val="nil"/>
              <w:right w:val="nil"/>
            </w:tcBorders>
            <w:shd w:val="clear" w:color="auto" w:fill="auto"/>
            <w:noWrap/>
            <w:vAlign w:val="bottom"/>
            <w:hideMark/>
          </w:tcPr>
          <w:p w14:paraId="7F06710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40BFC85D"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5E1DD515"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B</w:t>
            </w:r>
          </w:p>
        </w:tc>
        <w:tc>
          <w:tcPr>
            <w:tcW w:w="582" w:type="dxa"/>
            <w:tcBorders>
              <w:top w:val="nil"/>
              <w:left w:val="single" w:sz="4" w:space="0" w:color="auto"/>
              <w:bottom w:val="nil"/>
              <w:right w:val="nil"/>
            </w:tcBorders>
            <w:shd w:val="clear" w:color="auto" w:fill="auto"/>
            <w:noWrap/>
            <w:vAlign w:val="bottom"/>
            <w:hideMark/>
          </w:tcPr>
          <w:p w14:paraId="39847646"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0.06</w:t>
            </w:r>
          </w:p>
        </w:tc>
        <w:tc>
          <w:tcPr>
            <w:tcW w:w="582" w:type="dxa"/>
            <w:tcBorders>
              <w:top w:val="nil"/>
              <w:left w:val="nil"/>
              <w:bottom w:val="nil"/>
              <w:right w:val="nil"/>
            </w:tcBorders>
            <w:shd w:val="clear" w:color="auto" w:fill="auto"/>
            <w:noWrap/>
            <w:vAlign w:val="bottom"/>
            <w:hideMark/>
          </w:tcPr>
          <w:p w14:paraId="29BA27A2"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0.11</w:t>
            </w:r>
          </w:p>
        </w:tc>
        <w:tc>
          <w:tcPr>
            <w:tcW w:w="582" w:type="dxa"/>
            <w:tcBorders>
              <w:top w:val="nil"/>
              <w:left w:val="nil"/>
              <w:bottom w:val="nil"/>
              <w:right w:val="nil"/>
            </w:tcBorders>
            <w:shd w:val="clear" w:color="auto" w:fill="auto"/>
            <w:noWrap/>
            <w:vAlign w:val="bottom"/>
            <w:hideMark/>
          </w:tcPr>
          <w:p w14:paraId="658F4146"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0.17</w:t>
            </w:r>
          </w:p>
        </w:tc>
        <w:tc>
          <w:tcPr>
            <w:tcW w:w="582" w:type="dxa"/>
            <w:tcBorders>
              <w:top w:val="nil"/>
              <w:left w:val="nil"/>
              <w:bottom w:val="nil"/>
              <w:right w:val="nil"/>
            </w:tcBorders>
            <w:shd w:val="clear" w:color="auto" w:fill="auto"/>
            <w:noWrap/>
            <w:vAlign w:val="bottom"/>
            <w:hideMark/>
          </w:tcPr>
          <w:p w14:paraId="43C808F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0.23</w:t>
            </w:r>
          </w:p>
        </w:tc>
        <w:tc>
          <w:tcPr>
            <w:tcW w:w="582" w:type="dxa"/>
            <w:tcBorders>
              <w:top w:val="nil"/>
              <w:left w:val="nil"/>
              <w:bottom w:val="nil"/>
              <w:right w:val="nil"/>
            </w:tcBorders>
            <w:shd w:val="clear" w:color="auto" w:fill="auto"/>
            <w:noWrap/>
            <w:vAlign w:val="bottom"/>
            <w:hideMark/>
          </w:tcPr>
          <w:p w14:paraId="6C0C290B"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0.29</w:t>
            </w:r>
          </w:p>
        </w:tc>
        <w:tc>
          <w:tcPr>
            <w:tcW w:w="582" w:type="dxa"/>
            <w:tcBorders>
              <w:top w:val="nil"/>
              <w:left w:val="nil"/>
              <w:bottom w:val="nil"/>
              <w:right w:val="nil"/>
            </w:tcBorders>
            <w:shd w:val="clear" w:color="auto" w:fill="auto"/>
            <w:noWrap/>
            <w:vAlign w:val="bottom"/>
            <w:hideMark/>
          </w:tcPr>
          <w:p w14:paraId="298F71E0"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0.37</w:t>
            </w:r>
          </w:p>
        </w:tc>
        <w:tc>
          <w:tcPr>
            <w:tcW w:w="582" w:type="dxa"/>
            <w:tcBorders>
              <w:top w:val="nil"/>
              <w:left w:val="nil"/>
              <w:bottom w:val="nil"/>
              <w:right w:val="nil"/>
            </w:tcBorders>
            <w:shd w:val="clear" w:color="auto" w:fill="auto"/>
            <w:noWrap/>
            <w:vAlign w:val="bottom"/>
            <w:hideMark/>
          </w:tcPr>
          <w:p w14:paraId="7F1060F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0.46</w:t>
            </w:r>
          </w:p>
        </w:tc>
        <w:tc>
          <w:tcPr>
            <w:tcW w:w="582" w:type="dxa"/>
            <w:tcBorders>
              <w:top w:val="nil"/>
              <w:left w:val="nil"/>
              <w:bottom w:val="nil"/>
              <w:right w:val="nil"/>
            </w:tcBorders>
            <w:shd w:val="clear" w:color="auto" w:fill="auto"/>
            <w:noWrap/>
            <w:vAlign w:val="bottom"/>
            <w:hideMark/>
          </w:tcPr>
          <w:p w14:paraId="32658FB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0.60</w:t>
            </w:r>
          </w:p>
        </w:tc>
        <w:tc>
          <w:tcPr>
            <w:tcW w:w="582" w:type="dxa"/>
            <w:tcBorders>
              <w:top w:val="nil"/>
              <w:left w:val="nil"/>
              <w:bottom w:val="nil"/>
              <w:right w:val="nil"/>
            </w:tcBorders>
            <w:shd w:val="clear" w:color="auto" w:fill="auto"/>
            <w:noWrap/>
            <w:vAlign w:val="bottom"/>
            <w:hideMark/>
          </w:tcPr>
          <w:p w14:paraId="7D4850F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0.77</w:t>
            </w:r>
          </w:p>
        </w:tc>
        <w:tc>
          <w:tcPr>
            <w:tcW w:w="582" w:type="dxa"/>
            <w:tcBorders>
              <w:top w:val="nil"/>
              <w:left w:val="nil"/>
              <w:bottom w:val="nil"/>
              <w:right w:val="nil"/>
            </w:tcBorders>
            <w:shd w:val="clear" w:color="auto" w:fill="auto"/>
            <w:noWrap/>
            <w:vAlign w:val="bottom"/>
            <w:hideMark/>
          </w:tcPr>
          <w:p w14:paraId="5A566DD1"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66358234"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18765EAC"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C</w:t>
            </w:r>
          </w:p>
        </w:tc>
        <w:tc>
          <w:tcPr>
            <w:tcW w:w="582" w:type="dxa"/>
            <w:tcBorders>
              <w:top w:val="nil"/>
              <w:left w:val="single" w:sz="4" w:space="0" w:color="auto"/>
              <w:bottom w:val="nil"/>
              <w:right w:val="nil"/>
            </w:tcBorders>
            <w:shd w:val="clear" w:color="auto" w:fill="auto"/>
            <w:noWrap/>
            <w:vAlign w:val="bottom"/>
            <w:hideMark/>
          </w:tcPr>
          <w:p w14:paraId="101A998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0.02</w:t>
            </w:r>
          </w:p>
        </w:tc>
        <w:tc>
          <w:tcPr>
            <w:tcW w:w="582" w:type="dxa"/>
            <w:tcBorders>
              <w:top w:val="nil"/>
              <w:left w:val="nil"/>
              <w:bottom w:val="nil"/>
              <w:right w:val="nil"/>
            </w:tcBorders>
            <w:shd w:val="clear" w:color="auto" w:fill="auto"/>
            <w:noWrap/>
            <w:vAlign w:val="bottom"/>
            <w:hideMark/>
          </w:tcPr>
          <w:p w14:paraId="67803D2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0.04</w:t>
            </w:r>
          </w:p>
        </w:tc>
        <w:tc>
          <w:tcPr>
            <w:tcW w:w="582" w:type="dxa"/>
            <w:tcBorders>
              <w:top w:val="nil"/>
              <w:left w:val="nil"/>
              <w:bottom w:val="nil"/>
              <w:right w:val="nil"/>
            </w:tcBorders>
            <w:shd w:val="clear" w:color="auto" w:fill="auto"/>
            <w:noWrap/>
            <w:vAlign w:val="bottom"/>
            <w:hideMark/>
          </w:tcPr>
          <w:p w14:paraId="3DB7306D"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0.06</w:t>
            </w:r>
          </w:p>
        </w:tc>
        <w:tc>
          <w:tcPr>
            <w:tcW w:w="582" w:type="dxa"/>
            <w:tcBorders>
              <w:top w:val="nil"/>
              <w:left w:val="nil"/>
              <w:bottom w:val="nil"/>
              <w:right w:val="nil"/>
            </w:tcBorders>
            <w:shd w:val="clear" w:color="auto" w:fill="auto"/>
            <w:noWrap/>
            <w:vAlign w:val="bottom"/>
            <w:hideMark/>
          </w:tcPr>
          <w:p w14:paraId="37C999F8"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0.08</w:t>
            </w:r>
          </w:p>
        </w:tc>
        <w:tc>
          <w:tcPr>
            <w:tcW w:w="582" w:type="dxa"/>
            <w:tcBorders>
              <w:top w:val="nil"/>
              <w:left w:val="nil"/>
              <w:bottom w:val="nil"/>
              <w:right w:val="nil"/>
            </w:tcBorders>
            <w:shd w:val="clear" w:color="auto" w:fill="auto"/>
            <w:noWrap/>
            <w:vAlign w:val="bottom"/>
            <w:hideMark/>
          </w:tcPr>
          <w:p w14:paraId="4C2486CD"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0.12</w:t>
            </w:r>
          </w:p>
        </w:tc>
        <w:tc>
          <w:tcPr>
            <w:tcW w:w="582" w:type="dxa"/>
            <w:tcBorders>
              <w:top w:val="nil"/>
              <w:left w:val="nil"/>
              <w:bottom w:val="nil"/>
              <w:right w:val="nil"/>
            </w:tcBorders>
            <w:shd w:val="clear" w:color="auto" w:fill="auto"/>
            <w:noWrap/>
            <w:vAlign w:val="bottom"/>
            <w:hideMark/>
          </w:tcPr>
          <w:p w14:paraId="305439CB"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0.16</w:t>
            </w:r>
          </w:p>
        </w:tc>
        <w:tc>
          <w:tcPr>
            <w:tcW w:w="582" w:type="dxa"/>
            <w:tcBorders>
              <w:top w:val="nil"/>
              <w:left w:val="nil"/>
              <w:bottom w:val="nil"/>
              <w:right w:val="nil"/>
            </w:tcBorders>
            <w:shd w:val="clear" w:color="auto" w:fill="auto"/>
            <w:noWrap/>
            <w:vAlign w:val="bottom"/>
            <w:hideMark/>
          </w:tcPr>
          <w:p w14:paraId="2A39F9FD"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0.20</w:t>
            </w:r>
          </w:p>
        </w:tc>
        <w:tc>
          <w:tcPr>
            <w:tcW w:w="582" w:type="dxa"/>
            <w:tcBorders>
              <w:top w:val="nil"/>
              <w:left w:val="nil"/>
              <w:bottom w:val="nil"/>
              <w:right w:val="nil"/>
            </w:tcBorders>
            <w:shd w:val="clear" w:color="auto" w:fill="auto"/>
            <w:noWrap/>
            <w:vAlign w:val="bottom"/>
            <w:hideMark/>
          </w:tcPr>
          <w:p w14:paraId="0D381F3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0.40</w:t>
            </w:r>
          </w:p>
        </w:tc>
        <w:tc>
          <w:tcPr>
            <w:tcW w:w="582" w:type="dxa"/>
            <w:tcBorders>
              <w:top w:val="nil"/>
              <w:left w:val="nil"/>
              <w:bottom w:val="nil"/>
              <w:right w:val="nil"/>
            </w:tcBorders>
            <w:shd w:val="clear" w:color="auto" w:fill="auto"/>
            <w:noWrap/>
            <w:vAlign w:val="bottom"/>
            <w:hideMark/>
          </w:tcPr>
          <w:p w14:paraId="3D11BB86"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0.64</w:t>
            </w:r>
          </w:p>
        </w:tc>
        <w:tc>
          <w:tcPr>
            <w:tcW w:w="582" w:type="dxa"/>
            <w:tcBorders>
              <w:top w:val="nil"/>
              <w:left w:val="nil"/>
              <w:bottom w:val="nil"/>
              <w:right w:val="nil"/>
            </w:tcBorders>
            <w:shd w:val="clear" w:color="auto" w:fill="auto"/>
            <w:noWrap/>
            <w:vAlign w:val="bottom"/>
            <w:hideMark/>
          </w:tcPr>
          <w:p w14:paraId="6C53CEE8"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0BD26DD3"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2DD102B2"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D</w:t>
            </w:r>
          </w:p>
        </w:tc>
        <w:tc>
          <w:tcPr>
            <w:tcW w:w="582" w:type="dxa"/>
            <w:tcBorders>
              <w:top w:val="nil"/>
              <w:left w:val="single" w:sz="4" w:space="0" w:color="auto"/>
              <w:bottom w:val="nil"/>
              <w:right w:val="nil"/>
            </w:tcBorders>
            <w:shd w:val="clear" w:color="auto" w:fill="auto"/>
            <w:noWrap/>
            <w:vAlign w:val="bottom"/>
            <w:hideMark/>
          </w:tcPr>
          <w:p w14:paraId="46613F8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0.02</w:t>
            </w:r>
          </w:p>
        </w:tc>
        <w:tc>
          <w:tcPr>
            <w:tcW w:w="582" w:type="dxa"/>
            <w:tcBorders>
              <w:top w:val="nil"/>
              <w:left w:val="nil"/>
              <w:bottom w:val="nil"/>
              <w:right w:val="nil"/>
            </w:tcBorders>
            <w:shd w:val="clear" w:color="auto" w:fill="auto"/>
            <w:noWrap/>
            <w:vAlign w:val="bottom"/>
            <w:hideMark/>
          </w:tcPr>
          <w:p w14:paraId="1BCF0838"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0.06</w:t>
            </w:r>
          </w:p>
        </w:tc>
        <w:tc>
          <w:tcPr>
            <w:tcW w:w="582" w:type="dxa"/>
            <w:tcBorders>
              <w:top w:val="nil"/>
              <w:left w:val="nil"/>
              <w:bottom w:val="nil"/>
              <w:right w:val="nil"/>
            </w:tcBorders>
            <w:shd w:val="clear" w:color="auto" w:fill="auto"/>
            <w:noWrap/>
            <w:vAlign w:val="bottom"/>
            <w:hideMark/>
          </w:tcPr>
          <w:p w14:paraId="707B0E9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0.10</w:t>
            </w:r>
          </w:p>
        </w:tc>
        <w:tc>
          <w:tcPr>
            <w:tcW w:w="582" w:type="dxa"/>
            <w:tcBorders>
              <w:top w:val="nil"/>
              <w:left w:val="nil"/>
              <w:bottom w:val="nil"/>
              <w:right w:val="nil"/>
            </w:tcBorders>
            <w:shd w:val="clear" w:color="auto" w:fill="auto"/>
            <w:noWrap/>
            <w:vAlign w:val="bottom"/>
            <w:hideMark/>
          </w:tcPr>
          <w:p w14:paraId="3BEB337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0.16</w:t>
            </w:r>
          </w:p>
        </w:tc>
        <w:tc>
          <w:tcPr>
            <w:tcW w:w="582" w:type="dxa"/>
            <w:tcBorders>
              <w:top w:val="nil"/>
              <w:left w:val="nil"/>
              <w:bottom w:val="nil"/>
              <w:right w:val="nil"/>
            </w:tcBorders>
            <w:shd w:val="clear" w:color="auto" w:fill="auto"/>
            <w:noWrap/>
            <w:vAlign w:val="bottom"/>
            <w:hideMark/>
          </w:tcPr>
          <w:p w14:paraId="4922EF4B"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0.24</w:t>
            </w:r>
          </w:p>
        </w:tc>
        <w:tc>
          <w:tcPr>
            <w:tcW w:w="582" w:type="dxa"/>
            <w:tcBorders>
              <w:top w:val="nil"/>
              <w:left w:val="nil"/>
              <w:bottom w:val="nil"/>
              <w:right w:val="nil"/>
            </w:tcBorders>
            <w:shd w:val="clear" w:color="auto" w:fill="auto"/>
            <w:noWrap/>
            <w:vAlign w:val="bottom"/>
            <w:hideMark/>
          </w:tcPr>
          <w:p w14:paraId="5C42E28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0.32</w:t>
            </w:r>
          </w:p>
        </w:tc>
        <w:tc>
          <w:tcPr>
            <w:tcW w:w="582" w:type="dxa"/>
            <w:tcBorders>
              <w:top w:val="nil"/>
              <w:left w:val="nil"/>
              <w:bottom w:val="nil"/>
              <w:right w:val="nil"/>
            </w:tcBorders>
            <w:shd w:val="clear" w:color="auto" w:fill="auto"/>
            <w:noWrap/>
            <w:vAlign w:val="bottom"/>
            <w:hideMark/>
          </w:tcPr>
          <w:p w14:paraId="0CF8CCBB"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0.40</w:t>
            </w:r>
          </w:p>
        </w:tc>
        <w:tc>
          <w:tcPr>
            <w:tcW w:w="582" w:type="dxa"/>
            <w:tcBorders>
              <w:top w:val="nil"/>
              <w:left w:val="nil"/>
              <w:bottom w:val="nil"/>
              <w:right w:val="nil"/>
            </w:tcBorders>
            <w:shd w:val="clear" w:color="auto" w:fill="auto"/>
            <w:noWrap/>
            <w:vAlign w:val="bottom"/>
            <w:hideMark/>
          </w:tcPr>
          <w:p w14:paraId="3FD2CF31"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0.56</w:t>
            </w:r>
          </w:p>
        </w:tc>
        <w:tc>
          <w:tcPr>
            <w:tcW w:w="582" w:type="dxa"/>
            <w:tcBorders>
              <w:top w:val="nil"/>
              <w:left w:val="nil"/>
              <w:bottom w:val="nil"/>
              <w:right w:val="nil"/>
            </w:tcBorders>
            <w:shd w:val="clear" w:color="auto" w:fill="auto"/>
            <w:noWrap/>
            <w:vAlign w:val="bottom"/>
            <w:hideMark/>
          </w:tcPr>
          <w:p w14:paraId="1563598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0.76</w:t>
            </w:r>
          </w:p>
        </w:tc>
        <w:tc>
          <w:tcPr>
            <w:tcW w:w="582" w:type="dxa"/>
            <w:tcBorders>
              <w:top w:val="nil"/>
              <w:left w:val="nil"/>
              <w:bottom w:val="nil"/>
              <w:right w:val="nil"/>
            </w:tcBorders>
            <w:shd w:val="clear" w:color="auto" w:fill="auto"/>
            <w:noWrap/>
            <w:vAlign w:val="bottom"/>
            <w:hideMark/>
          </w:tcPr>
          <w:p w14:paraId="1F6F4C6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1637DD35"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22CBF4CC"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E</w:t>
            </w:r>
          </w:p>
        </w:tc>
        <w:tc>
          <w:tcPr>
            <w:tcW w:w="582" w:type="dxa"/>
            <w:tcBorders>
              <w:top w:val="nil"/>
              <w:left w:val="single" w:sz="4" w:space="0" w:color="auto"/>
              <w:bottom w:val="nil"/>
              <w:right w:val="nil"/>
            </w:tcBorders>
            <w:shd w:val="clear" w:color="auto" w:fill="auto"/>
            <w:noWrap/>
            <w:vAlign w:val="bottom"/>
            <w:hideMark/>
          </w:tcPr>
          <w:p w14:paraId="057AF1FB"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0.01</w:t>
            </w:r>
          </w:p>
        </w:tc>
        <w:tc>
          <w:tcPr>
            <w:tcW w:w="582" w:type="dxa"/>
            <w:tcBorders>
              <w:top w:val="nil"/>
              <w:left w:val="nil"/>
              <w:bottom w:val="nil"/>
              <w:right w:val="nil"/>
            </w:tcBorders>
            <w:shd w:val="clear" w:color="auto" w:fill="auto"/>
            <w:noWrap/>
            <w:vAlign w:val="bottom"/>
            <w:hideMark/>
          </w:tcPr>
          <w:p w14:paraId="58A1E2A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0.03</w:t>
            </w:r>
          </w:p>
        </w:tc>
        <w:tc>
          <w:tcPr>
            <w:tcW w:w="582" w:type="dxa"/>
            <w:tcBorders>
              <w:top w:val="nil"/>
              <w:left w:val="nil"/>
              <w:bottom w:val="nil"/>
              <w:right w:val="nil"/>
            </w:tcBorders>
            <w:shd w:val="clear" w:color="auto" w:fill="auto"/>
            <w:noWrap/>
            <w:vAlign w:val="bottom"/>
            <w:hideMark/>
          </w:tcPr>
          <w:p w14:paraId="5582056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0.04</w:t>
            </w:r>
          </w:p>
        </w:tc>
        <w:tc>
          <w:tcPr>
            <w:tcW w:w="582" w:type="dxa"/>
            <w:tcBorders>
              <w:top w:val="nil"/>
              <w:left w:val="nil"/>
              <w:bottom w:val="nil"/>
              <w:right w:val="nil"/>
            </w:tcBorders>
            <w:shd w:val="clear" w:color="auto" w:fill="auto"/>
            <w:noWrap/>
            <w:vAlign w:val="bottom"/>
            <w:hideMark/>
          </w:tcPr>
          <w:p w14:paraId="7816123D"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0.06</w:t>
            </w:r>
          </w:p>
        </w:tc>
        <w:tc>
          <w:tcPr>
            <w:tcW w:w="582" w:type="dxa"/>
            <w:tcBorders>
              <w:top w:val="nil"/>
              <w:left w:val="nil"/>
              <w:bottom w:val="nil"/>
              <w:right w:val="nil"/>
            </w:tcBorders>
            <w:shd w:val="clear" w:color="auto" w:fill="auto"/>
            <w:noWrap/>
            <w:vAlign w:val="bottom"/>
            <w:hideMark/>
          </w:tcPr>
          <w:p w14:paraId="01C6957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0.14</w:t>
            </w:r>
          </w:p>
        </w:tc>
        <w:tc>
          <w:tcPr>
            <w:tcW w:w="582" w:type="dxa"/>
            <w:tcBorders>
              <w:top w:val="nil"/>
              <w:left w:val="nil"/>
              <w:bottom w:val="nil"/>
              <w:right w:val="nil"/>
            </w:tcBorders>
            <w:shd w:val="clear" w:color="auto" w:fill="auto"/>
            <w:noWrap/>
            <w:vAlign w:val="bottom"/>
            <w:hideMark/>
          </w:tcPr>
          <w:p w14:paraId="3A61A278"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0.23</w:t>
            </w:r>
          </w:p>
        </w:tc>
        <w:tc>
          <w:tcPr>
            <w:tcW w:w="582" w:type="dxa"/>
            <w:tcBorders>
              <w:top w:val="nil"/>
              <w:left w:val="nil"/>
              <w:bottom w:val="nil"/>
              <w:right w:val="nil"/>
            </w:tcBorders>
            <w:shd w:val="clear" w:color="auto" w:fill="auto"/>
            <w:noWrap/>
            <w:vAlign w:val="bottom"/>
            <w:hideMark/>
          </w:tcPr>
          <w:p w14:paraId="4EA2A911"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0.36</w:t>
            </w:r>
          </w:p>
        </w:tc>
        <w:tc>
          <w:tcPr>
            <w:tcW w:w="582" w:type="dxa"/>
            <w:tcBorders>
              <w:top w:val="nil"/>
              <w:left w:val="nil"/>
              <w:bottom w:val="nil"/>
              <w:right w:val="nil"/>
            </w:tcBorders>
            <w:shd w:val="clear" w:color="auto" w:fill="auto"/>
            <w:noWrap/>
            <w:vAlign w:val="bottom"/>
            <w:hideMark/>
          </w:tcPr>
          <w:p w14:paraId="513CC8F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0.50</w:t>
            </w:r>
          </w:p>
        </w:tc>
        <w:tc>
          <w:tcPr>
            <w:tcW w:w="582" w:type="dxa"/>
            <w:tcBorders>
              <w:top w:val="nil"/>
              <w:left w:val="nil"/>
              <w:bottom w:val="nil"/>
              <w:right w:val="nil"/>
            </w:tcBorders>
            <w:shd w:val="clear" w:color="auto" w:fill="auto"/>
            <w:noWrap/>
            <w:vAlign w:val="bottom"/>
            <w:hideMark/>
          </w:tcPr>
          <w:p w14:paraId="23F78D9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0.71</w:t>
            </w:r>
          </w:p>
        </w:tc>
        <w:tc>
          <w:tcPr>
            <w:tcW w:w="582" w:type="dxa"/>
            <w:tcBorders>
              <w:top w:val="nil"/>
              <w:left w:val="nil"/>
              <w:bottom w:val="nil"/>
              <w:right w:val="nil"/>
            </w:tcBorders>
            <w:shd w:val="clear" w:color="auto" w:fill="auto"/>
            <w:noWrap/>
            <w:vAlign w:val="bottom"/>
            <w:hideMark/>
          </w:tcPr>
          <w:p w14:paraId="6B00BBF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40204CC8"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782DF213"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F</w:t>
            </w:r>
          </w:p>
        </w:tc>
        <w:tc>
          <w:tcPr>
            <w:tcW w:w="582" w:type="dxa"/>
            <w:tcBorders>
              <w:top w:val="nil"/>
              <w:left w:val="single" w:sz="4" w:space="0" w:color="auto"/>
              <w:bottom w:val="nil"/>
              <w:right w:val="nil"/>
            </w:tcBorders>
            <w:shd w:val="clear" w:color="auto" w:fill="auto"/>
            <w:noWrap/>
            <w:vAlign w:val="bottom"/>
            <w:hideMark/>
          </w:tcPr>
          <w:p w14:paraId="15ACA91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0.03</w:t>
            </w:r>
          </w:p>
        </w:tc>
        <w:tc>
          <w:tcPr>
            <w:tcW w:w="582" w:type="dxa"/>
            <w:tcBorders>
              <w:top w:val="nil"/>
              <w:left w:val="nil"/>
              <w:bottom w:val="nil"/>
              <w:right w:val="nil"/>
            </w:tcBorders>
            <w:shd w:val="clear" w:color="auto" w:fill="auto"/>
            <w:noWrap/>
            <w:vAlign w:val="bottom"/>
            <w:hideMark/>
          </w:tcPr>
          <w:p w14:paraId="1BE0415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0.07</w:t>
            </w:r>
          </w:p>
        </w:tc>
        <w:tc>
          <w:tcPr>
            <w:tcW w:w="582" w:type="dxa"/>
            <w:tcBorders>
              <w:top w:val="nil"/>
              <w:left w:val="nil"/>
              <w:bottom w:val="nil"/>
              <w:right w:val="nil"/>
            </w:tcBorders>
            <w:shd w:val="clear" w:color="auto" w:fill="auto"/>
            <w:noWrap/>
            <w:vAlign w:val="bottom"/>
            <w:hideMark/>
          </w:tcPr>
          <w:p w14:paraId="0538240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0.11</w:t>
            </w:r>
          </w:p>
        </w:tc>
        <w:tc>
          <w:tcPr>
            <w:tcW w:w="582" w:type="dxa"/>
            <w:tcBorders>
              <w:top w:val="nil"/>
              <w:left w:val="nil"/>
              <w:bottom w:val="nil"/>
              <w:right w:val="nil"/>
            </w:tcBorders>
            <w:shd w:val="clear" w:color="auto" w:fill="auto"/>
            <w:noWrap/>
            <w:vAlign w:val="bottom"/>
            <w:hideMark/>
          </w:tcPr>
          <w:p w14:paraId="55CA6CC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0.17</w:t>
            </w:r>
          </w:p>
        </w:tc>
        <w:tc>
          <w:tcPr>
            <w:tcW w:w="582" w:type="dxa"/>
            <w:tcBorders>
              <w:top w:val="nil"/>
              <w:left w:val="nil"/>
              <w:bottom w:val="nil"/>
              <w:right w:val="nil"/>
            </w:tcBorders>
            <w:shd w:val="clear" w:color="auto" w:fill="auto"/>
            <w:noWrap/>
            <w:vAlign w:val="bottom"/>
            <w:hideMark/>
          </w:tcPr>
          <w:p w14:paraId="51BB87B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0.23</w:t>
            </w:r>
          </w:p>
        </w:tc>
        <w:tc>
          <w:tcPr>
            <w:tcW w:w="582" w:type="dxa"/>
            <w:tcBorders>
              <w:top w:val="nil"/>
              <w:left w:val="nil"/>
              <w:bottom w:val="nil"/>
              <w:right w:val="nil"/>
            </w:tcBorders>
            <w:shd w:val="clear" w:color="auto" w:fill="auto"/>
            <w:noWrap/>
            <w:vAlign w:val="bottom"/>
            <w:hideMark/>
          </w:tcPr>
          <w:p w14:paraId="2251B878"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0.29</w:t>
            </w:r>
          </w:p>
        </w:tc>
        <w:tc>
          <w:tcPr>
            <w:tcW w:w="582" w:type="dxa"/>
            <w:tcBorders>
              <w:top w:val="nil"/>
              <w:left w:val="nil"/>
              <w:bottom w:val="nil"/>
              <w:right w:val="nil"/>
            </w:tcBorders>
            <w:shd w:val="clear" w:color="auto" w:fill="auto"/>
            <w:noWrap/>
            <w:vAlign w:val="bottom"/>
            <w:hideMark/>
          </w:tcPr>
          <w:p w14:paraId="341E904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0.36</w:t>
            </w:r>
          </w:p>
        </w:tc>
        <w:tc>
          <w:tcPr>
            <w:tcW w:w="582" w:type="dxa"/>
            <w:tcBorders>
              <w:top w:val="nil"/>
              <w:left w:val="nil"/>
              <w:bottom w:val="nil"/>
              <w:right w:val="nil"/>
            </w:tcBorders>
            <w:shd w:val="clear" w:color="auto" w:fill="auto"/>
            <w:noWrap/>
            <w:vAlign w:val="bottom"/>
            <w:hideMark/>
          </w:tcPr>
          <w:p w14:paraId="13921F4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0.44</w:t>
            </w:r>
          </w:p>
        </w:tc>
        <w:tc>
          <w:tcPr>
            <w:tcW w:w="582" w:type="dxa"/>
            <w:tcBorders>
              <w:top w:val="nil"/>
              <w:left w:val="nil"/>
              <w:bottom w:val="nil"/>
              <w:right w:val="nil"/>
            </w:tcBorders>
            <w:shd w:val="clear" w:color="auto" w:fill="auto"/>
            <w:noWrap/>
            <w:vAlign w:val="bottom"/>
            <w:hideMark/>
          </w:tcPr>
          <w:p w14:paraId="67C7C48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0.57</w:t>
            </w:r>
          </w:p>
        </w:tc>
        <w:tc>
          <w:tcPr>
            <w:tcW w:w="582" w:type="dxa"/>
            <w:tcBorders>
              <w:top w:val="nil"/>
              <w:left w:val="nil"/>
              <w:bottom w:val="nil"/>
              <w:right w:val="nil"/>
            </w:tcBorders>
            <w:shd w:val="clear" w:color="auto" w:fill="auto"/>
            <w:noWrap/>
            <w:vAlign w:val="bottom"/>
            <w:hideMark/>
          </w:tcPr>
          <w:p w14:paraId="75CC77E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5ED7AC2D"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322E5E50"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G</w:t>
            </w:r>
          </w:p>
        </w:tc>
        <w:tc>
          <w:tcPr>
            <w:tcW w:w="582" w:type="dxa"/>
            <w:tcBorders>
              <w:top w:val="nil"/>
              <w:left w:val="single" w:sz="4" w:space="0" w:color="auto"/>
              <w:bottom w:val="nil"/>
              <w:right w:val="nil"/>
            </w:tcBorders>
            <w:shd w:val="clear" w:color="auto" w:fill="auto"/>
            <w:noWrap/>
            <w:vAlign w:val="bottom"/>
            <w:hideMark/>
          </w:tcPr>
          <w:p w14:paraId="37E4EBB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0.01</w:t>
            </w:r>
          </w:p>
        </w:tc>
        <w:tc>
          <w:tcPr>
            <w:tcW w:w="582" w:type="dxa"/>
            <w:tcBorders>
              <w:top w:val="nil"/>
              <w:left w:val="nil"/>
              <w:bottom w:val="nil"/>
              <w:right w:val="nil"/>
            </w:tcBorders>
            <w:shd w:val="clear" w:color="auto" w:fill="auto"/>
            <w:noWrap/>
            <w:vAlign w:val="bottom"/>
            <w:hideMark/>
          </w:tcPr>
          <w:p w14:paraId="6434B93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0.04</w:t>
            </w:r>
          </w:p>
        </w:tc>
        <w:tc>
          <w:tcPr>
            <w:tcW w:w="582" w:type="dxa"/>
            <w:tcBorders>
              <w:top w:val="nil"/>
              <w:left w:val="nil"/>
              <w:bottom w:val="nil"/>
              <w:right w:val="nil"/>
            </w:tcBorders>
            <w:shd w:val="clear" w:color="auto" w:fill="auto"/>
            <w:noWrap/>
            <w:vAlign w:val="bottom"/>
            <w:hideMark/>
          </w:tcPr>
          <w:p w14:paraId="55B1F048"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0.07</w:t>
            </w:r>
          </w:p>
        </w:tc>
        <w:tc>
          <w:tcPr>
            <w:tcW w:w="582" w:type="dxa"/>
            <w:tcBorders>
              <w:top w:val="nil"/>
              <w:left w:val="nil"/>
              <w:bottom w:val="nil"/>
              <w:right w:val="nil"/>
            </w:tcBorders>
            <w:shd w:val="clear" w:color="auto" w:fill="auto"/>
            <w:noWrap/>
            <w:vAlign w:val="bottom"/>
            <w:hideMark/>
          </w:tcPr>
          <w:p w14:paraId="265BE5A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0.11</w:t>
            </w:r>
          </w:p>
        </w:tc>
        <w:tc>
          <w:tcPr>
            <w:tcW w:w="582" w:type="dxa"/>
            <w:tcBorders>
              <w:top w:val="nil"/>
              <w:left w:val="nil"/>
              <w:bottom w:val="nil"/>
              <w:right w:val="nil"/>
            </w:tcBorders>
            <w:shd w:val="clear" w:color="auto" w:fill="auto"/>
            <w:noWrap/>
            <w:vAlign w:val="bottom"/>
            <w:hideMark/>
          </w:tcPr>
          <w:p w14:paraId="2E8710CA"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0.15</w:t>
            </w:r>
          </w:p>
        </w:tc>
        <w:tc>
          <w:tcPr>
            <w:tcW w:w="582" w:type="dxa"/>
            <w:tcBorders>
              <w:top w:val="nil"/>
              <w:left w:val="nil"/>
              <w:bottom w:val="nil"/>
              <w:right w:val="nil"/>
            </w:tcBorders>
            <w:shd w:val="clear" w:color="auto" w:fill="auto"/>
            <w:noWrap/>
            <w:vAlign w:val="bottom"/>
            <w:hideMark/>
          </w:tcPr>
          <w:p w14:paraId="0E9BE14A"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0.20</w:t>
            </w:r>
          </w:p>
        </w:tc>
        <w:tc>
          <w:tcPr>
            <w:tcW w:w="582" w:type="dxa"/>
            <w:tcBorders>
              <w:top w:val="nil"/>
              <w:left w:val="nil"/>
              <w:bottom w:val="nil"/>
              <w:right w:val="nil"/>
            </w:tcBorders>
            <w:shd w:val="clear" w:color="auto" w:fill="auto"/>
            <w:noWrap/>
            <w:vAlign w:val="bottom"/>
            <w:hideMark/>
          </w:tcPr>
          <w:p w14:paraId="0D1E8770"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0.27</w:t>
            </w:r>
          </w:p>
        </w:tc>
        <w:tc>
          <w:tcPr>
            <w:tcW w:w="582" w:type="dxa"/>
            <w:tcBorders>
              <w:top w:val="nil"/>
              <w:left w:val="nil"/>
              <w:bottom w:val="nil"/>
              <w:right w:val="nil"/>
            </w:tcBorders>
            <w:shd w:val="clear" w:color="auto" w:fill="auto"/>
            <w:noWrap/>
            <w:vAlign w:val="bottom"/>
            <w:hideMark/>
          </w:tcPr>
          <w:p w14:paraId="673E85F6"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0.41</w:t>
            </w:r>
          </w:p>
        </w:tc>
        <w:tc>
          <w:tcPr>
            <w:tcW w:w="582" w:type="dxa"/>
            <w:tcBorders>
              <w:top w:val="nil"/>
              <w:left w:val="nil"/>
              <w:bottom w:val="nil"/>
              <w:right w:val="nil"/>
            </w:tcBorders>
            <w:shd w:val="clear" w:color="auto" w:fill="auto"/>
            <w:noWrap/>
            <w:vAlign w:val="bottom"/>
            <w:hideMark/>
          </w:tcPr>
          <w:p w14:paraId="64A629F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0.65</w:t>
            </w:r>
          </w:p>
        </w:tc>
        <w:tc>
          <w:tcPr>
            <w:tcW w:w="582" w:type="dxa"/>
            <w:tcBorders>
              <w:top w:val="nil"/>
              <w:left w:val="nil"/>
              <w:bottom w:val="nil"/>
              <w:right w:val="nil"/>
            </w:tcBorders>
            <w:shd w:val="clear" w:color="auto" w:fill="auto"/>
            <w:noWrap/>
            <w:vAlign w:val="bottom"/>
            <w:hideMark/>
          </w:tcPr>
          <w:p w14:paraId="55A6109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1709010A"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12F51816"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H</w:t>
            </w:r>
          </w:p>
        </w:tc>
        <w:tc>
          <w:tcPr>
            <w:tcW w:w="582" w:type="dxa"/>
            <w:tcBorders>
              <w:top w:val="nil"/>
              <w:left w:val="single" w:sz="4" w:space="0" w:color="auto"/>
              <w:bottom w:val="nil"/>
              <w:right w:val="nil"/>
            </w:tcBorders>
            <w:shd w:val="clear" w:color="auto" w:fill="auto"/>
            <w:noWrap/>
            <w:vAlign w:val="bottom"/>
            <w:hideMark/>
          </w:tcPr>
          <w:p w14:paraId="5FA9C062"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0.01</w:t>
            </w:r>
          </w:p>
        </w:tc>
        <w:tc>
          <w:tcPr>
            <w:tcW w:w="582" w:type="dxa"/>
            <w:tcBorders>
              <w:top w:val="nil"/>
              <w:left w:val="nil"/>
              <w:bottom w:val="nil"/>
              <w:right w:val="nil"/>
            </w:tcBorders>
            <w:shd w:val="clear" w:color="auto" w:fill="auto"/>
            <w:noWrap/>
            <w:vAlign w:val="bottom"/>
            <w:hideMark/>
          </w:tcPr>
          <w:p w14:paraId="0E4658E1"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0.02</w:t>
            </w:r>
          </w:p>
        </w:tc>
        <w:tc>
          <w:tcPr>
            <w:tcW w:w="582" w:type="dxa"/>
            <w:tcBorders>
              <w:top w:val="nil"/>
              <w:left w:val="nil"/>
              <w:bottom w:val="nil"/>
              <w:right w:val="nil"/>
            </w:tcBorders>
            <w:shd w:val="clear" w:color="auto" w:fill="auto"/>
            <w:noWrap/>
            <w:vAlign w:val="bottom"/>
            <w:hideMark/>
          </w:tcPr>
          <w:p w14:paraId="3BCC6B1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0.08</w:t>
            </w:r>
          </w:p>
        </w:tc>
        <w:tc>
          <w:tcPr>
            <w:tcW w:w="582" w:type="dxa"/>
            <w:tcBorders>
              <w:top w:val="nil"/>
              <w:left w:val="nil"/>
              <w:bottom w:val="nil"/>
              <w:right w:val="nil"/>
            </w:tcBorders>
            <w:shd w:val="clear" w:color="auto" w:fill="auto"/>
            <w:noWrap/>
            <w:vAlign w:val="bottom"/>
            <w:hideMark/>
          </w:tcPr>
          <w:p w14:paraId="2C34D91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0.14</w:t>
            </w:r>
          </w:p>
        </w:tc>
        <w:tc>
          <w:tcPr>
            <w:tcW w:w="582" w:type="dxa"/>
            <w:tcBorders>
              <w:top w:val="nil"/>
              <w:left w:val="nil"/>
              <w:bottom w:val="nil"/>
              <w:right w:val="nil"/>
            </w:tcBorders>
            <w:shd w:val="clear" w:color="auto" w:fill="auto"/>
            <w:noWrap/>
            <w:vAlign w:val="bottom"/>
            <w:hideMark/>
          </w:tcPr>
          <w:p w14:paraId="02787C9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0.24</w:t>
            </w:r>
          </w:p>
        </w:tc>
        <w:tc>
          <w:tcPr>
            <w:tcW w:w="582" w:type="dxa"/>
            <w:tcBorders>
              <w:top w:val="nil"/>
              <w:left w:val="nil"/>
              <w:bottom w:val="nil"/>
              <w:right w:val="nil"/>
            </w:tcBorders>
            <w:shd w:val="clear" w:color="auto" w:fill="auto"/>
            <w:noWrap/>
            <w:vAlign w:val="bottom"/>
            <w:hideMark/>
          </w:tcPr>
          <w:p w14:paraId="635008F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0.34</w:t>
            </w:r>
          </w:p>
        </w:tc>
        <w:tc>
          <w:tcPr>
            <w:tcW w:w="582" w:type="dxa"/>
            <w:tcBorders>
              <w:top w:val="nil"/>
              <w:left w:val="nil"/>
              <w:bottom w:val="nil"/>
              <w:right w:val="nil"/>
            </w:tcBorders>
            <w:shd w:val="clear" w:color="auto" w:fill="auto"/>
            <w:noWrap/>
            <w:vAlign w:val="bottom"/>
            <w:hideMark/>
          </w:tcPr>
          <w:p w14:paraId="1074C55A"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0.46</w:t>
            </w:r>
          </w:p>
        </w:tc>
        <w:tc>
          <w:tcPr>
            <w:tcW w:w="582" w:type="dxa"/>
            <w:tcBorders>
              <w:top w:val="nil"/>
              <w:left w:val="nil"/>
              <w:bottom w:val="nil"/>
              <w:right w:val="nil"/>
            </w:tcBorders>
            <w:shd w:val="clear" w:color="auto" w:fill="auto"/>
            <w:noWrap/>
            <w:vAlign w:val="bottom"/>
            <w:hideMark/>
          </w:tcPr>
          <w:p w14:paraId="6AC3BB1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0.60</w:t>
            </w:r>
          </w:p>
        </w:tc>
        <w:tc>
          <w:tcPr>
            <w:tcW w:w="582" w:type="dxa"/>
            <w:tcBorders>
              <w:top w:val="nil"/>
              <w:left w:val="nil"/>
              <w:bottom w:val="nil"/>
              <w:right w:val="nil"/>
            </w:tcBorders>
            <w:shd w:val="clear" w:color="auto" w:fill="auto"/>
            <w:noWrap/>
            <w:vAlign w:val="bottom"/>
            <w:hideMark/>
          </w:tcPr>
          <w:p w14:paraId="71EDB121"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0.79</w:t>
            </w:r>
          </w:p>
        </w:tc>
        <w:tc>
          <w:tcPr>
            <w:tcW w:w="582" w:type="dxa"/>
            <w:tcBorders>
              <w:top w:val="nil"/>
              <w:left w:val="nil"/>
              <w:bottom w:val="nil"/>
              <w:right w:val="nil"/>
            </w:tcBorders>
            <w:shd w:val="clear" w:color="auto" w:fill="auto"/>
            <w:noWrap/>
            <w:vAlign w:val="bottom"/>
            <w:hideMark/>
          </w:tcPr>
          <w:p w14:paraId="46B1334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767FD980"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4F7992BB"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I</w:t>
            </w:r>
          </w:p>
        </w:tc>
        <w:tc>
          <w:tcPr>
            <w:tcW w:w="582" w:type="dxa"/>
            <w:tcBorders>
              <w:top w:val="nil"/>
              <w:left w:val="single" w:sz="4" w:space="0" w:color="auto"/>
              <w:bottom w:val="nil"/>
              <w:right w:val="nil"/>
            </w:tcBorders>
            <w:shd w:val="clear" w:color="auto" w:fill="auto"/>
            <w:noWrap/>
            <w:vAlign w:val="bottom"/>
            <w:hideMark/>
          </w:tcPr>
          <w:p w14:paraId="05FEEF52"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0.02</w:t>
            </w:r>
          </w:p>
        </w:tc>
        <w:tc>
          <w:tcPr>
            <w:tcW w:w="582" w:type="dxa"/>
            <w:tcBorders>
              <w:top w:val="nil"/>
              <w:left w:val="nil"/>
              <w:bottom w:val="nil"/>
              <w:right w:val="nil"/>
            </w:tcBorders>
            <w:shd w:val="clear" w:color="auto" w:fill="auto"/>
            <w:noWrap/>
            <w:vAlign w:val="bottom"/>
            <w:hideMark/>
          </w:tcPr>
          <w:p w14:paraId="202FD90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0.04</w:t>
            </w:r>
          </w:p>
        </w:tc>
        <w:tc>
          <w:tcPr>
            <w:tcW w:w="582" w:type="dxa"/>
            <w:tcBorders>
              <w:top w:val="nil"/>
              <w:left w:val="nil"/>
              <w:bottom w:val="nil"/>
              <w:right w:val="nil"/>
            </w:tcBorders>
            <w:shd w:val="clear" w:color="auto" w:fill="auto"/>
            <w:noWrap/>
            <w:vAlign w:val="bottom"/>
            <w:hideMark/>
          </w:tcPr>
          <w:p w14:paraId="66A5E33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0.07</w:t>
            </w:r>
          </w:p>
        </w:tc>
        <w:tc>
          <w:tcPr>
            <w:tcW w:w="582" w:type="dxa"/>
            <w:tcBorders>
              <w:top w:val="nil"/>
              <w:left w:val="nil"/>
              <w:bottom w:val="nil"/>
              <w:right w:val="nil"/>
            </w:tcBorders>
            <w:shd w:val="clear" w:color="auto" w:fill="auto"/>
            <w:noWrap/>
            <w:vAlign w:val="bottom"/>
            <w:hideMark/>
          </w:tcPr>
          <w:p w14:paraId="050BAB7A"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0.12</w:t>
            </w:r>
          </w:p>
        </w:tc>
        <w:tc>
          <w:tcPr>
            <w:tcW w:w="582" w:type="dxa"/>
            <w:tcBorders>
              <w:top w:val="nil"/>
              <w:left w:val="nil"/>
              <w:bottom w:val="nil"/>
              <w:right w:val="nil"/>
            </w:tcBorders>
            <w:shd w:val="clear" w:color="auto" w:fill="auto"/>
            <w:noWrap/>
            <w:vAlign w:val="bottom"/>
            <w:hideMark/>
          </w:tcPr>
          <w:p w14:paraId="2BBE14A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0.19</w:t>
            </w:r>
          </w:p>
        </w:tc>
        <w:tc>
          <w:tcPr>
            <w:tcW w:w="582" w:type="dxa"/>
            <w:tcBorders>
              <w:top w:val="nil"/>
              <w:left w:val="nil"/>
              <w:bottom w:val="nil"/>
              <w:right w:val="nil"/>
            </w:tcBorders>
            <w:shd w:val="clear" w:color="auto" w:fill="auto"/>
            <w:noWrap/>
            <w:vAlign w:val="bottom"/>
            <w:hideMark/>
          </w:tcPr>
          <w:p w14:paraId="362B206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0.28</w:t>
            </w:r>
          </w:p>
        </w:tc>
        <w:tc>
          <w:tcPr>
            <w:tcW w:w="582" w:type="dxa"/>
            <w:tcBorders>
              <w:top w:val="nil"/>
              <w:left w:val="nil"/>
              <w:bottom w:val="nil"/>
              <w:right w:val="nil"/>
            </w:tcBorders>
            <w:shd w:val="clear" w:color="auto" w:fill="auto"/>
            <w:noWrap/>
            <w:vAlign w:val="bottom"/>
            <w:hideMark/>
          </w:tcPr>
          <w:p w14:paraId="2F864803"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0.41</w:t>
            </w:r>
          </w:p>
        </w:tc>
        <w:tc>
          <w:tcPr>
            <w:tcW w:w="582" w:type="dxa"/>
            <w:tcBorders>
              <w:top w:val="nil"/>
              <w:left w:val="nil"/>
              <w:bottom w:val="nil"/>
              <w:right w:val="nil"/>
            </w:tcBorders>
            <w:shd w:val="clear" w:color="auto" w:fill="auto"/>
            <w:noWrap/>
            <w:vAlign w:val="bottom"/>
            <w:hideMark/>
          </w:tcPr>
          <w:p w14:paraId="4D8570F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0.56</w:t>
            </w:r>
          </w:p>
        </w:tc>
        <w:tc>
          <w:tcPr>
            <w:tcW w:w="582" w:type="dxa"/>
            <w:tcBorders>
              <w:top w:val="nil"/>
              <w:left w:val="nil"/>
              <w:bottom w:val="nil"/>
              <w:right w:val="nil"/>
            </w:tcBorders>
            <w:shd w:val="clear" w:color="auto" w:fill="auto"/>
            <w:noWrap/>
            <w:vAlign w:val="bottom"/>
            <w:hideMark/>
          </w:tcPr>
          <w:p w14:paraId="134B46FD"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0.74</w:t>
            </w:r>
          </w:p>
        </w:tc>
        <w:tc>
          <w:tcPr>
            <w:tcW w:w="582" w:type="dxa"/>
            <w:tcBorders>
              <w:top w:val="nil"/>
              <w:left w:val="nil"/>
              <w:bottom w:val="nil"/>
              <w:right w:val="nil"/>
            </w:tcBorders>
            <w:shd w:val="clear" w:color="auto" w:fill="auto"/>
            <w:noWrap/>
            <w:vAlign w:val="bottom"/>
            <w:hideMark/>
          </w:tcPr>
          <w:p w14:paraId="49EF258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188E47D8" w14:textId="77777777" w:rsidTr="00F633B8">
        <w:trPr>
          <w:trHeight w:val="300"/>
        </w:trPr>
        <w:tc>
          <w:tcPr>
            <w:tcW w:w="1596" w:type="dxa"/>
            <w:tcBorders>
              <w:top w:val="nil"/>
              <w:left w:val="nil"/>
              <w:bottom w:val="nil"/>
              <w:right w:val="single" w:sz="4" w:space="0" w:color="auto"/>
            </w:tcBorders>
            <w:shd w:val="clear" w:color="auto" w:fill="auto"/>
            <w:noWrap/>
            <w:vAlign w:val="bottom"/>
            <w:hideMark/>
          </w:tcPr>
          <w:p w14:paraId="21C7F073"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J</w:t>
            </w:r>
          </w:p>
        </w:tc>
        <w:tc>
          <w:tcPr>
            <w:tcW w:w="582" w:type="dxa"/>
            <w:tcBorders>
              <w:top w:val="nil"/>
              <w:left w:val="single" w:sz="4" w:space="0" w:color="auto"/>
              <w:bottom w:val="nil"/>
              <w:right w:val="nil"/>
            </w:tcBorders>
            <w:shd w:val="clear" w:color="auto" w:fill="auto"/>
            <w:noWrap/>
            <w:vAlign w:val="bottom"/>
            <w:hideMark/>
          </w:tcPr>
          <w:p w14:paraId="0E602374"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0.01</w:t>
            </w:r>
          </w:p>
        </w:tc>
        <w:tc>
          <w:tcPr>
            <w:tcW w:w="582" w:type="dxa"/>
            <w:tcBorders>
              <w:top w:val="nil"/>
              <w:left w:val="nil"/>
              <w:bottom w:val="nil"/>
              <w:right w:val="nil"/>
            </w:tcBorders>
            <w:shd w:val="clear" w:color="auto" w:fill="auto"/>
            <w:noWrap/>
            <w:vAlign w:val="bottom"/>
            <w:hideMark/>
          </w:tcPr>
          <w:p w14:paraId="193CCB0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0.02</w:t>
            </w:r>
          </w:p>
        </w:tc>
        <w:tc>
          <w:tcPr>
            <w:tcW w:w="582" w:type="dxa"/>
            <w:tcBorders>
              <w:top w:val="nil"/>
              <w:left w:val="nil"/>
              <w:bottom w:val="nil"/>
              <w:right w:val="nil"/>
            </w:tcBorders>
            <w:shd w:val="clear" w:color="auto" w:fill="auto"/>
            <w:noWrap/>
            <w:vAlign w:val="bottom"/>
            <w:hideMark/>
          </w:tcPr>
          <w:p w14:paraId="4C463DC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0.04</w:t>
            </w:r>
          </w:p>
        </w:tc>
        <w:tc>
          <w:tcPr>
            <w:tcW w:w="582" w:type="dxa"/>
            <w:tcBorders>
              <w:top w:val="nil"/>
              <w:left w:val="nil"/>
              <w:bottom w:val="nil"/>
              <w:right w:val="nil"/>
            </w:tcBorders>
            <w:shd w:val="clear" w:color="auto" w:fill="auto"/>
            <w:noWrap/>
            <w:vAlign w:val="bottom"/>
            <w:hideMark/>
          </w:tcPr>
          <w:p w14:paraId="3DBD2B3A"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0.06</w:t>
            </w:r>
          </w:p>
        </w:tc>
        <w:tc>
          <w:tcPr>
            <w:tcW w:w="582" w:type="dxa"/>
            <w:tcBorders>
              <w:top w:val="nil"/>
              <w:left w:val="nil"/>
              <w:bottom w:val="nil"/>
              <w:right w:val="nil"/>
            </w:tcBorders>
            <w:shd w:val="clear" w:color="auto" w:fill="auto"/>
            <w:noWrap/>
            <w:vAlign w:val="bottom"/>
            <w:hideMark/>
          </w:tcPr>
          <w:p w14:paraId="1D30166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0.14</w:t>
            </w:r>
          </w:p>
        </w:tc>
        <w:tc>
          <w:tcPr>
            <w:tcW w:w="582" w:type="dxa"/>
            <w:tcBorders>
              <w:top w:val="nil"/>
              <w:left w:val="nil"/>
              <w:bottom w:val="nil"/>
              <w:right w:val="nil"/>
            </w:tcBorders>
            <w:shd w:val="clear" w:color="auto" w:fill="auto"/>
            <w:noWrap/>
            <w:vAlign w:val="bottom"/>
            <w:hideMark/>
          </w:tcPr>
          <w:p w14:paraId="58D942F1"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0.22</w:t>
            </w:r>
          </w:p>
        </w:tc>
        <w:tc>
          <w:tcPr>
            <w:tcW w:w="582" w:type="dxa"/>
            <w:tcBorders>
              <w:top w:val="nil"/>
              <w:left w:val="nil"/>
              <w:bottom w:val="nil"/>
              <w:right w:val="nil"/>
            </w:tcBorders>
            <w:shd w:val="clear" w:color="auto" w:fill="auto"/>
            <w:noWrap/>
            <w:vAlign w:val="bottom"/>
            <w:hideMark/>
          </w:tcPr>
          <w:p w14:paraId="21E9EE3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0.36</w:t>
            </w:r>
          </w:p>
        </w:tc>
        <w:tc>
          <w:tcPr>
            <w:tcW w:w="582" w:type="dxa"/>
            <w:tcBorders>
              <w:top w:val="nil"/>
              <w:left w:val="nil"/>
              <w:bottom w:val="nil"/>
              <w:right w:val="nil"/>
            </w:tcBorders>
            <w:shd w:val="clear" w:color="auto" w:fill="auto"/>
            <w:noWrap/>
            <w:vAlign w:val="bottom"/>
            <w:hideMark/>
          </w:tcPr>
          <w:p w14:paraId="2665A06F"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0.51</w:t>
            </w:r>
          </w:p>
        </w:tc>
        <w:tc>
          <w:tcPr>
            <w:tcW w:w="582" w:type="dxa"/>
            <w:tcBorders>
              <w:top w:val="nil"/>
              <w:left w:val="nil"/>
              <w:bottom w:val="nil"/>
              <w:right w:val="nil"/>
            </w:tcBorders>
            <w:shd w:val="clear" w:color="auto" w:fill="auto"/>
            <w:noWrap/>
            <w:vAlign w:val="bottom"/>
            <w:hideMark/>
          </w:tcPr>
          <w:p w14:paraId="23C888FC"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0.70</w:t>
            </w:r>
          </w:p>
        </w:tc>
        <w:tc>
          <w:tcPr>
            <w:tcW w:w="582" w:type="dxa"/>
            <w:tcBorders>
              <w:top w:val="nil"/>
              <w:left w:val="nil"/>
              <w:bottom w:val="nil"/>
              <w:right w:val="nil"/>
            </w:tcBorders>
            <w:shd w:val="clear" w:color="auto" w:fill="auto"/>
            <w:noWrap/>
            <w:vAlign w:val="bottom"/>
            <w:hideMark/>
          </w:tcPr>
          <w:p w14:paraId="5F3BEA09"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r w:rsidR="00984073" w:rsidRPr="0011612E" w14:paraId="44C3BB9D" w14:textId="77777777" w:rsidTr="00F633B8">
        <w:trPr>
          <w:trHeight w:val="300"/>
        </w:trPr>
        <w:tc>
          <w:tcPr>
            <w:tcW w:w="1596" w:type="dxa"/>
            <w:tcBorders>
              <w:top w:val="nil"/>
              <w:left w:val="nil"/>
              <w:bottom w:val="nil"/>
              <w:right w:val="single" w:sz="4" w:space="0" w:color="auto"/>
            </w:tcBorders>
            <w:shd w:val="clear" w:color="auto" w:fill="auto"/>
            <w:noWrap/>
            <w:vAlign w:val="bottom"/>
          </w:tcPr>
          <w:p w14:paraId="2566E484" w14:textId="77777777" w:rsidR="00984073" w:rsidRPr="0011612E" w:rsidRDefault="00984073" w:rsidP="00C22CD5">
            <w:pPr>
              <w:rPr>
                <w:rFonts w:ascii="Calibri" w:eastAsia="Times New Roman" w:hAnsi="Calibri" w:cs="Times New Roman"/>
                <w:color w:val="000000"/>
                <w:sz w:val="20"/>
              </w:rPr>
            </w:pPr>
            <w:r w:rsidRPr="0011612E">
              <w:rPr>
                <w:rFonts w:ascii="Calibri" w:eastAsia="Times New Roman" w:hAnsi="Calibri" w:cs="Times New Roman"/>
                <w:color w:val="000000"/>
                <w:sz w:val="20"/>
              </w:rPr>
              <w:t>Equality</w:t>
            </w:r>
          </w:p>
        </w:tc>
        <w:tc>
          <w:tcPr>
            <w:tcW w:w="582" w:type="dxa"/>
            <w:tcBorders>
              <w:top w:val="nil"/>
              <w:left w:val="single" w:sz="4" w:space="0" w:color="auto"/>
              <w:bottom w:val="nil"/>
              <w:right w:val="nil"/>
            </w:tcBorders>
            <w:shd w:val="clear" w:color="auto" w:fill="auto"/>
            <w:noWrap/>
            <w:vAlign w:val="bottom"/>
          </w:tcPr>
          <w:p w14:paraId="7759548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0.1</w:t>
            </w:r>
          </w:p>
        </w:tc>
        <w:tc>
          <w:tcPr>
            <w:tcW w:w="582" w:type="dxa"/>
            <w:tcBorders>
              <w:top w:val="nil"/>
              <w:left w:val="nil"/>
              <w:bottom w:val="nil"/>
              <w:right w:val="nil"/>
            </w:tcBorders>
            <w:shd w:val="clear" w:color="auto" w:fill="auto"/>
            <w:noWrap/>
            <w:vAlign w:val="bottom"/>
          </w:tcPr>
          <w:p w14:paraId="390C77D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0.2</w:t>
            </w:r>
          </w:p>
        </w:tc>
        <w:tc>
          <w:tcPr>
            <w:tcW w:w="582" w:type="dxa"/>
            <w:tcBorders>
              <w:top w:val="nil"/>
              <w:left w:val="nil"/>
              <w:bottom w:val="nil"/>
              <w:right w:val="nil"/>
            </w:tcBorders>
            <w:shd w:val="clear" w:color="auto" w:fill="auto"/>
            <w:noWrap/>
            <w:vAlign w:val="bottom"/>
          </w:tcPr>
          <w:p w14:paraId="2E5E40F5"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0.3</w:t>
            </w:r>
          </w:p>
        </w:tc>
        <w:tc>
          <w:tcPr>
            <w:tcW w:w="582" w:type="dxa"/>
            <w:tcBorders>
              <w:top w:val="nil"/>
              <w:left w:val="nil"/>
              <w:bottom w:val="nil"/>
              <w:right w:val="nil"/>
            </w:tcBorders>
            <w:shd w:val="clear" w:color="auto" w:fill="auto"/>
            <w:noWrap/>
            <w:vAlign w:val="bottom"/>
          </w:tcPr>
          <w:p w14:paraId="70EEC646"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0.4</w:t>
            </w:r>
          </w:p>
        </w:tc>
        <w:tc>
          <w:tcPr>
            <w:tcW w:w="582" w:type="dxa"/>
            <w:tcBorders>
              <w:top w:val="nil"/>
              <w:left w:val="nil"/>
              <w:bottom w:val="nil"/>
              <w:right w:val="nil"/>
            </w:tcBorders>
            <w:shd w:val="clear" w:color="auto" w:fill="auto"/>
            <w:noWrap/>
            <w:vAlign w:val="bottom"/>
          </w:tcPr>
          <w:p w14:paraId="13397261"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0.5</w:t>
            </w:r>
          </w:p>
        </w:tc>
        <w:tc>
          <w:tcPr>
            <w:tcW w:w="582" w:type="dxa"/>
            <w:tcBorders>
              <w:top w:val="nil"/>
              <w:left w:val="nil"/>
              <w:bottom w:val="nil"/>
              <w:right w:val="nil"/>
            </w:tcBorders>
            <w:shd w:val="clear" w:color="auto" w:fill="auto"/>
            <w:noWrap/>
            <w:vAlign w:val="bottom"/>
          </w:tcPr>
          <w:p w14:paraId="1DE5ABF6"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0.6</w:t>
            </w:r>
          </w:p>
        </w:tc>
        <w:tc>
          <w:tcPr>
            <w:tcW w:w="582" w:type="dxa"/>
            <w:tcBorders>
              <w:top w:val="nil"/>
              <w:left w:val="nil"/>
              <w:bottom w:val="nil"/>
              <w:right w:val="nil"/>
            </w:tcBorders>
            <w:shd w:val="clear" w:color="auto" w:fill="auto"/>
            <w:noWrap/>
            <w:vAlign w:val="bottom"/>
          </w:tcPr>
          <w:p w14:paraId="0F02C31A"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0.7</w:t>
            </w:r>
          </w:p>
        </w:tc>
        <w:tc>
          <w:tcPr>
            <w:tcW w:w="582" w:type="dxa"/>
            <w:tcBorders>
              <w:top w:val="nil"/>
              <w:left w:val="nil"/>
              <w:bottom w:val="nil"/>
              <w:right w:val="nil"/>
            </w:tcBorders>
            <w:shd w:val="clear" w:color="auto" w:fill="auto"/>
            <w:noWrap/>
            <w:vAlign w:val="bottom"/>
          </w:tcPr>
          <w:p w14:paraId="780381E7"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0.8</w:t>
            </w:r>
          </w:p>
        </w:tc>
        <w:tc>
          <w:tcPr>
            <w:tcW w:w="582" w:type="dxa"/>
            <w:tcBorders>
              <w:top w:val="nil"/>
              <w:left w:val="nil"/>
              <w:bottom w:val="nil"/>
              <w:right w:val="nil"/>
            </w:tcBorders>
            <w:shd w:val="clear" w:color="auto" w:fill="auto"/>
            <w:noWrap/>
            <w:vAlign w:val="bottom"/>
          </w:tcPr>
          <w:p w14:paraId="399B635E" w14:textId="77777777" w:rsidR="00984073" w:rsidRPr="0011612E" w:rsidRDefault="00984073" w:rsidP="00C22CD5">
            <w:pPr>
              <w:jc w:val="right"/>
              <w:rPr>
                <w:rFonts w:ascii="Calibri" w:eastAsia="Times New Roman" w:hAnsi="Calibri" w:cs="Times New Roman"/>
                <w:color w:val="000000"/>
                <w:sz w:val="20"/>
              </w:rPr>
            </w:pPr>
            <w:r w:rsidRPr="0011612E">
              <w:rPr>
                <w:rFonts w:ascii="Calibri" w:eastAsia="Times New Roman" w:hAnsi="Calibri" w:cs="Times New Roman"/>
                <w:color w:val="000000"/>
                <w:sz w:val="20"/>
              </w:rPr>
              <w:t>0.9</w:t>
            </w:r>
          </w:p>
        </w:tc>
        <w:tc>
          <w:tcPr>
            <w:tcW w:w="582" w:type="dxa"/>
            <w:tcBorders>
              <w:top w:val="nil"/>
              <w:left w:val="nil"/>
              <w:bottom w:val="nil"/>
              <w:right w:val="nil"/>
            </w:tcBorders>
            <w:shd w:val="clear" w:color="auto" w:fill="auto"/>
            <w:noWrap/>
            <w:vAlign w:val="bottom"/>
          </w:tcPr>
          <w:p w14:paraId="193FEF15" w14:textId="77777777" w:rsidR="00984073" w:rsidRPr="0011612E" w:rsidRDefault="00984073" w:rsidP="00C22CD5">
            <w:pPr>
              <w:keepNext/>
              <w:jc w:val="center"/>
              <w:rPr>
                <w:rFonts w:ascii="Calibri" w:eastAsia="Times New Roman" w:hAnsi="Calibri" w:cs="Times New Roman"/>
                <w:color w:val="000000"/>
                <w:sz w:val="20"/>
              </w:rPr>
            </w:pPr>
            <w:r w:rsidRPr="0011612E">
              <w:rPr>
                <w:rFonts w:ascii="Calibri" w:eastAsia="Times New Roman" w:hAnsi="Calibri" w:cs="Times New Roman"/>
                <w:color w:val="000000"/>
                <w:sz w:val="20"/>
              </w:rPr>
              <w:t>1.00</w:t>
            </w:r>
          </w:p>
        </w:tc>
      </w:tr>
    </w:tbl>
    <w:p w14:paraId="24015EB6" w14:textId="3456F7BE" w:rsidR="00984073" w:rsidRPr="00C22CD5" w:rsidRDefault="00C22CD5" w:rsidP="00C22CD5">
      <w:pPr>
        <w:pStyle w:val="Caption"/>
        <w:rPr>
          <w:b w:val="0"/>
          <w:color w:val="auto"/>
        </w:rPr>
      </w:pPr>
      <w:r w:rsidRPr="00C22CD5">
        <w:rPr>
          <w:b w:val="0"/>
          <w:color w:val="auto"/>
        </w:rPr>
        <w:t xml:space="preserve">Table </w:t>
      </w:r>
      <w:r w:rsidRPr="00C22CD5">
        <w:rPr>
          <w:b w:val="0"/>
          <w:color w:val="auto"/>
        </w:rPr>
        <w:fldChar w:fldCharType="begin"/>
      </w:r>
      <w:r w:rsidRPr="00C22CD5">
        <w:rPr>
          <w:b w:val="0"/>
          <w:color w:val="auto"/>
        </w:rPr>
        <w:instrText xml:space="preserve"> SEQ Table \* ARABIC </w:instrText>
      </w:r>
      <w:r w:rsidRPr="00C22CD5">
        <w:rPr>
          <w:b w:val="0"/>
          <w:color w:val="auto"/>
        </w:rPr>
        <w:fldChar w:fldCharType="separate"/>
      </w:r>
      <w:r>
        <w:rPr>
          <w:b w:val="0"/>
          <w:noProof/>
          <w:color w:val="auto"/>
        </w:rPr>
        <w:t>3</w:t>
      </w:r>
      <w:r w:rsidRPr="00C22CD5">
        <w:rPr>
          <w:b w:val="0"/>
          <w:color w:val="auto"/>
        </w:rPr>
        <w:fldChar w:fldCharType="end"/>
      </w:r>
      <w:r w:rsidRPr="00C22CD5">
        <w:rPr>
          <w:b w:val="0"/>
          <w:color w:val="auto"/>
        </w:rPr>
        <w:t xml:space="preserve">: Cumulative income shares for each economy used to compute the Gini </w:t>
      </w:r>
      <w:r>
        <w:rPr>
          <w:b w:val="0"/>
          <w:color w:val="auto"/>
        </w:rPr>
        <w:t>index</w:t>
      </w:r>
      <w:r w:rsidRPr="00C22CD5">
        <w:rPr>
          <w:b w:val="0"/>
          <w:color w:val="auto"/>
        </w:rPr>
        <w:t>.</w:t>
      </w:r>
    </w:p>
    <w:p w14:paraId="639B3C70" w14:textId="77777777" w:rsidR="00984073" w:rsidRDefault="00984073" w:rsidP="00984073"/>
    <w:tbl>
      <w:tblPr>
        <w:tblW w:w="8188" w:type="dxa"/>
        <w:tblInd w:w="108" w:type="dxa"/>
        <w:tblLook w:val="04A0" w:firstRow="1" w:lastRow="0" w:firstColumn="1" w:lastColumn="0" w:noHBand="0" w:noVBand="1"/>
      </w:tblPr>
      <w:tblGrid>
        <w:gridCol w:w="956"/>
        <w:gridCol w:w="582"/>
        <w:gridCol w:w="582"/>
        <w:gridCol w:w="582"/>
        <w:gridCol w:w="582"/>
        <w:gridCol w:w="582"/>
        <w:gridCol w:w="582"/>
        <w:gridCol w:w="582"/>
        <w:gridCol w:w="582"/>
        <w:gridCol w:w="582"/>
        <w:gridCol w:w="582"/>
        <w:gridCol w:w="816"/>
        <w:gridCol w:w="596"/>
      </w:tblGrid>
      <w:tr w:rsidR="00984073" w:rsidRPr="0011612E" w14:paraId="72495392"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556A8A19" w14:textId="77777777" w:rsidR="00984073" w:rsidRPr="0011612E" w:rsidRDefault="00984073" w:rsidP="00C22CD5">
            <w:pPr>
              <w:rPr>
                <w:rFonts w:ascii="Calibri" w:eastAsia="Times New Roman" w:hAnsi="Calibri" w:cs="Times New Roman"/>
                <w:color w:val="000000"/>
                <w:sz w:val="20"/>
                <w:szCs w:val="20"/>
              </w:rPr>
            </w:pPr>
          </w:p>
        </w:tc>
        <w:tc>
          <w:tcPr>
            <w:tcW w:w="5820" w:type="dxa"/>
            <w:gridSpan w:val="10"/>
            <w:tcBorders>
              <w:top w:val="nil"/>
              <w:left w:val="single" w:sz="4" w:space="0" w:color="auto"/>
              <w:right w:val="single" w:sz="4" w:space="0" w:color="auto"/>
            </w:tcBorders>
            <w:shd w:val="clear" w:color="auto" w:fill="auto"/>
            <w:noWrap/>
            <w:vAlign w:val="bottom"/>
            <w:hideMark/>
          </w:tcPr>
          <w:p w14:paraId="7340D31F" w14:textId="77777777" w:rsidR="00984073" w:rsidRPr="0011612E" w:rsidRDefault="00984073" w:rsidP="00C22CD5">
            <w:pPr>
              <w:jc w:val="cente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 xml:space="preserve">A </w:t>
            </w:r>
            <w:r>
              <w:rPr>
                <w:rFonts w:ascii="Calibri" w:eastAsia="Times New Roman" w:hAnsi="Calibri" w:cs="Times New Roman"/>
                <w:color w:val="000000"/>
                <w:sz w:val="20"/>
                <w:szCs w:val="20"/>
              </w:rPr>
              <w:t>at Each 10% Share</w:t>
            </w:r>
          </w:p>
        </w:tc>
        <w:tc>
          <w:tcPr>
            <w:tcW w:w="816" w:type="dxa"/>
            <w:tcBorders>
              <w:top w:val="nil"/>
              <w:left w:val="single" w:sz="4" w:space="0" w:color="auto"/>
              <w:bottom w:val="nil"/>
              <w:right w:val="nil"/>
            </w:tcBorders>
            <w:shd w:val="clear" w:color="auto" w:fill="auto"/>
            <w:noWrap/>
            <w:vAlign w:val="bottom"/>
            <w:hideMark/>
          </w:tcPr>
          <w:p w14:paraId="18F037A3" w14:textId="77777777" w:rsidR="00984073" w:rsidRPr="0011612E" w:rsidRDefault="00984073" w:rsidP="00C22CD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Total</w:t>
            </w:r>
          </w:p>
        </w:tc>
        <w:tc>
          <w:tcPr>
            <w:tcW w:w="596" w:type="dxa"/>
            <w:tcBorders>
              <w:top w:val="nil"/>
              <w:left w:val="nil"/>
              <w:bottom w:val="nil"/>
              <w:right w:val="nil"/>
            </w:tcBorders>
            <w:shd w:val="clear" w:color="auto" w:fill="auto"/>
            <w:noWrap/>
            <w:vAlign w:val="bottom"/>
            <w:hideMark/>
          </w:tcPr>
          <w:p w14:paraId="529326EE" w14:textId="77777777" w:rsidR="00984073" w:rsidRPr="0011612E" w:rsidRDefault="00984073" w:rsidP="00C22CD5">
            <w:pPr>
              <w:rPr>
                <w:rFonts w:ascii="Calibri" w:eastAsia="Times New Roman" w:hAnsi="Calibri" w:cs="Times New Roman"/>
                <w:color w:val="000000"/>
                <w:sz w:val="20"/>
                <w:szCs w:val="20"/>
              </w:rPr>
            </w:pPr>
          </w:p>
        </w:tc>
      </w:tr>
      <w:tr w:rsidR="00984073" w:rsidRPr="0011612E" w14:paraId="08D81A6A" w14:textId="77777777" w:rsidTr="00F633B8">
        <w:trPr>
          <w:trHeight w:val="300"/>
        </w:trPr>
        <w:tc>
          <w:tcPr>
            <w:tcW w:w="956" w:type="dxa"/>
            <w:tcBorders>
              <w:top w:val="nil"/>
              <w:left w:val="nil"/>
              <w:bottom w:val="single" w:sz="4" w:space="0" w:color="auto"/>
              <w:right w:val="single" w:sz="4" w:space="0" w:color="auto"/>
            </w:tcBorders>
            <w:shd w:val="clear" w:color="auto" w:fill="auto"/>
            <w:noWrap/>
            <w:vAlign w:val="bottom"/>
            <w:hideMark/>
          </w:tcPr>
          <w:p w14:paraId="02180373"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Country</w:t>
            </w:r>
          </w:p>
        </w:tc>
        <w:tc>
          <w:tcPr>
            <w:tcW w:w="582" w:type="dxa"/>
            <w:tcBorders>
              <w:top w:val="nil"/>
              <w:left w:val="single" w:sz="4" w:space="0" w:color="auto"/>
              <w:bottom w:val="single" w:sz="4" w:space="0" w:color="auto"/>
              <w:right w:val="nil"/>
            </w:tcBorders>
            <w:shd w:val="clear" w:color="auto" w:fill="auto"/>
            <w:noWrap/>
            <w:vAlign w:val="bottom"/>
            <w:hideMark/>
          </w:tcPr>
          <w:p w14:paraId="6E490C8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10</w:t>
            </w:r>
          </w:p>
        </w:tc>
        <w:tc>
          <w:tcPr>
            <w:tcW w:w="582" w:type="dxa"/>
            <w:tcBorders>
              <w:top w:val="nil"/>
              <w:left w:val="nil"/>
              <w:bottom w:val="single" w:sz="4" w:space="0" w:color="auto"/>
              <w:right w:val="nil"/>
            </w:tcBorders>
            <w:shd w:val="clear" w:color="auto" w:fill="auto"/>
            <w:noWrap/>
            <w:vAlign w:val="bottom"/>
            <w:hideMark/>
          </w:tcPr>
          <w:p w14:paraId="0373326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20</w:t>
            </w:r>
          </w:p>
        </w:tc>
        <w:tc>
          <w:tcPr>
            <w:tcW w:w="582" w:type="dxa"/>
            <w:tcBorders>
              <w:top w:val="nil"/>
              <w:left w:val="nil"/>
              <w:bottom w:val="single" w:sz="4" w:space="0" w:color="auto"/>
              <w:right w:val="nil"/>
            </w:tcBorders>
            <w:shd w:val="clear" w:color="auto" w:fill="auto"/>
            <w:noWrap/>
            <w:vAlign w:val="bottom"/>
            <w:hideMark/>
          </w:tcPr>
          <w:p w14:paraId="756248C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30</w:t>
            </w:r>
          </w:p>
        </w:tc>
        <w:tc>
          <w:tcPr>
            <w:tcW w:w="582" w:type="dxa"/>
            <w:tcBorders>
              <w:top w:val="nil"/>
              <w:left w:val="nil"/>
              <w:bottom w:val="single" w:sz="4" w:space="0" w:color="auto"/>
              <w:right w:val="nil"/>
            </w:tcBorders>
            <w:shd w:val="clear" w:color="auto" w:fill="auto"/>
            <w:noWrap/>
            <w:vAlign w:val="bottom"/>
            <w:hideMark/>
          </w:tcPr>
          <w:p w14:paraId="568FCC1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40</w:t>
            </w:r>
          </w:p>
        </w:tc>
        <w:tc>
          <w:tcPr>
            <w:tcW w:w="582" w:type="dxa"/>
            <w:tcBorders>
              <w:top w:val="nil"/>
              <w:left w:val="nil"/>
              <w:bottom w:val="single" w:sz="4" w:space="0" w:color="auto"/>
              <w:right w:val="nil"/>
            </w:tcBorders>
            <w:shd w:val="clear" w:color="auto" w:fill="auto"/>
            <w:noWrap/>
            <w:vAlign w:val="bottom"/>
            <w:hideMark/>
          </w:tcPr>
          <w:p w14:paraId="6594A21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50</w:t>
            </w:r>
          </w:p>
        </w:tc>
        <w:tc>
          <w:tcPr>
            <w:tcW w:w="582" w:type="dxa"/>
            <w:tcBorders>
              <w:top w:val="nil"/>
              <w:left w:val="nil"/>
              <w:bottom w:val="single" w:sz="4" w:space="0" w:color="auto"/>
              <w:right w:val="nil"/>
            </w:tcBorders>
            <w:shd w:val="clear" w:color="auto" w:fill="auto"/>
            <w:noWrap/>
            <w:vAlign w:val="bottom"/>
            <w:hideMark/>
          </w:tcPr>
          <w:p w14:paraId="121AEDC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60</w:t>
            </w:r>
          </w:p>
        </w:tc>
        <w:tc>
          <w:tcPr>
            <w:tcW w:w="582" w:type="dxa"/>
            <w:tcBorders>
              <w:top w:val="nil"/>
              <w:left w:val="nil"/>
              <w:bottom w:val="single" w:sz="4" w:space="0" w:color="auto"/>
              <w:right w:val="nil"/>
            </w:tcBorders>
            <w:shd w:val="clear" w:color="auto" w:fill="auto"/>
            <w:noWrap/>
            <w:vAlign w:val="bottom"/>
            <w:hideMark/>
          </w:tcPr>
          <w:p w14:paraId="2E209F38"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70</w:t>
            </w:r>
          </w:p>
        </w:tc>
        <w:tc>
          <w:tcPr>
            <w:tcW w:w="582" w:type="dxa"/>
            <w:tcBorders>
              <w:top w:val="nil"/>
              <w:left w:val="nil"/>
              <w:bottom w:val="single" w:sz="4" w:space="0" w:color="auto"/>
              <w:right w:val="nil"/>
            </w:tcBorders>
            <w:shd w:val="clear" w:color="auto" w:fill="auto"/>
            <w:noWrap/>
            <w:vAlign w:val="bottom"/>
            <w:hideMark/>
          </w:tcPr>
          <w:p w14:paraId="3488FC7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80</w:t>
            </w:r>
          </w:p>
        </w:tc>
        <w:tc>
          <w:tcPr>
            <w:tcW w:w="582" w:type="dxa"/>
            <w:tcBorders>
              <w:top w:val="nil"/>
              <w:left w:val="nil"/>
              <w:bottom w:val="single" w:sz="4" w:space="0" w:color="auto"/>
              <w:right w:val="nil"/>
            </w:tcBorders>
            <w:shd w:val="clear" w:color="auto" w:fill="auto"/>
            <w:noWrap/>
            <w:vAlign w:val="bottom"/>
            <w:hideMark/>
          </w:tcPr>
          <w:p w14:paraId="064A21E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90</w:t>
            </w:r>
          </w:p>
        </w:tc>
        <w:tc>
          <w:tcPr>
            <w:tcW w:w="582" w:type="dxa"/>
            <w:tcBorders>
              <w:top w:val="nil"/>
              <w:left w:val="nil"/>
              <w:bottom w:val="single" w:sz="4" w:space="0" w:color="auto"/>
              <w:right w:val="single" w:sz="4" w:space="0" w:color="auto"/>
            </w:tcBorders>
            <w:shd w:val="clear" w:color="auto" w:fill="auto"/>
            <w:noWrap/>
            <w:vAlign w:val="bottom"/>
            <w:hideMark/>
          </w:tcPr>
          <w:p w14:paraId="65031EA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100</w:t>
            </w:r>
          </w:p>
        </w:tc>
        <w:tc>
          <w:tcPr>
            <w:tcW w:w="816" w:type="dxa"/>
            <w:tcBorders>
              <w:top w:val="nil"/>
              <w:left w:val="single" w:sz="4" w:space="0" w:color="auto"/>
              <w:bottom w:val="single" w:sz="4" w:space="0" w:color="auto"/>
              <w:right w:val="nil"/>
            </w:tcBorders>
            <w:shd w:val="clear" w:color="auto" w:fill="auto"/>
            <w:noWrap/>
            <w:vAlign w:val="bottom"/>
            <w:hideMark/>
          </w:tcPr>
          <w:p w14:paraId="43BC3CBE"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Area A</w:t>
            </w:r>
          </w:p>
        </w:tc>
        <w:tc>
          <w:tcPr>
            <w:tcW w:w="596" w:type="dxa"/>
            <w:tcBorders>
              <w:top w:val="nil"/>
              <w:left w:val="nil"/>
              <w:bottom w:val="single" w:sz="4" w:space="0" w:color="auto"/>
              <w:right w:val="nil"/>
            </w:tcBorders>
            <w:shd w:val="clear" w:color="auto" w:fill="auto"/>
            <w:noWrap/>
            <w:vAlign w:val="bottom"/>
            <w:hideMark/>
          </w:tcPr>
          <w:p w14:paraId="27732ED3"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Gini</w:t>
            </w:r>
          </w:p>
        </w:tc>
      </w:tr>
      <w:tr w:rsidR="00984073" w:rsidRPr="0011612E" w14:paraId="0B6F655B" w14:textId="77777777" w:rsidTr="00F633B8">
        <w:trPr>
          <w:trHeight w:val="300"/>
        </w:trPr>
        <w:tc>
          <w:tcPr>
            <w:tcW w:w="956" w:type="dxa"/>
            <w:tcBorders>
              <w:top w:val="single" w:sz="4" w:space="0" w:color="auto"/>
              <w:left w:val="nil"/>
              <w:bottom w:val="nil"/>
              <w:right w:val="single" w:sz="4" w:space="0" w:color="auto"/>
            </w:tcBorders>
            <w:shd w:val="clear" w:color="auto" w:fill="auto"/>
            <w:noWrap/>
            <w:vAlign w:val="bottom"/>
            <w:hideMark/>
          </w:tcPr>
          <w:p w14:paraId="657A0C1A"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A</w:t>
            </w:r>
          </w:p>
        </w:tc>
        <w:tc>
          <w:tcPr>
            <w:tcW w:w="582" w:type="dxa"/>
            <w:tcBorders>
              <w:top w:val="single" w:sz="4" w:space="0" w:color="auto"/>
              <w:left w:val="single" w:sz="4" w:space="0" w:color="auto"/>
              <w:bottom w:val="nil"/>
              <w:right w:val="nil"/>
            </w:tcBorders>
            <w:shd w:val="clear" w:color="auto" w:fill="auto"/>
            <w:noWrap/>
            <w:vAlign w:val="bottom"/>
            <w:hideMark/>
          </w:tcPr>
          <w:p w14:paraId="162F391C"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0.07</w:t>
            </w:r>
          </w:p>
        </w:tc>
        <w:tc>
          <w:tcPr>
            <w:tcW w:w="582" w:type="dxa"/>
            <w:tcBorders>
              <w:top w:val="single" w:sz="4" w:space="0" w:color="auto"/>
              <w:left w:val="nil"/>
              <w:bottom w:val="nil"/>
              <w:right w:val="nil"/>
            </w:tcBorders>
            <w:shd w:val="clear" w:color="auto" w:fill="auto"/>
            <w:noWrap/>
            <w:vAlign w:val="bottom"/>
            <w:hideMark/>
          </w:tcPr>
          <w:p w14:paraId="2CAE9DB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0.14</w:t>
            </w:r>
          </w:p>
        </w:tc>
        <w:tc>
          <w:tcPr>
            <w:tcW w:w="582" w:type="dxa"/>
            <w:tcBorders>
              <w:top w:val="single" w:sz="4" w:space="0" w:color="auto"/>
              <w:left w:val="nil"/>
              <w:bottom w:val="nil"/>
              <w:right w:val="nil"/>
            </w:tcBorders>
            <w:shd w:val="clear" w:color="auto" w:fill="auto"/>
            <w:noWrap/>
            <w:vAlign w:val="bottom"/>
            <w:hideMark/>
          </w:tcPr>
          <w:p w14:paraId="41E57EA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0.21</w:t>
            </w:r>
          </w:p>
        </w:tc>
        <w:tc>
          <w:tcPr>
            <w:tcW w:w="582" w:type="dxa"/>
            <w:tcBorders>
              <w:top w:val="single" w:sz="4" w:space="0" w:color="auto"/>
              <w:left w:val="nil"/>
              <w:bottom w:val="nil"/>
              <w:right w:val="nil"/>
            </w:tcBorders>
            <w:shd w:val="clear" w:color="auto" w:fill="auto"/>
            <w:noWrap/>
            <w:vAlign w:val="bottom"/>
            <w:hideMark/>
          </w:tcPr>
          <w:p w14:paraId="1C397CB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single" w:sz="4" w:space="0" w:color="auto"/>
              <w:left w:val="nil"/>
              <w:bottom w:val="nil"/>
              <w:right w:val="nil"/>
            </w:tcBorders>
            <w:shd w:val="clear" w:color="auto" w:fill="auto"/>
            <w:noWrap/>
            <w:vAlign w:val="bottom"/>
            <w:hideMark/>
          </w:tcPr>
          <w:p w14:paraId="6472C92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0.30</w:t>
            </w:r>
          </w:p>
        </w:tc>
        <w:tc>
          <w:tcPr>
            <w:tcW w:w="582" w:type="dxa"/>
            <w:tcBorders>
              <w:top w:val="single" w:sz="4" w:space="0" w:color="auto"/>
              <w:left w:val="nil"/>
              <w:bottom w:val="nil"/>
              <w:right w:val="nil"/>
            </w:tcBorders>
            <w:shd w:val="clear" w:color="auto" w:fill="auto"/>
            <w:noWrap/>
            <w:vAlign w:val="bottom"/>
            <w:hideMark/>
          </w:tcPr>
          <w:p w14:paraId="229BD85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0.31</w:t>
            </w:r>
          </w:p>
        </w:tc>
        <w:tc>
          <w:tcPr>
            <w:tcW w:w="582" w:type="dxa"/>
            <w:tcBorders>
              <w:top w:val="single" w:sz="4" w:space="0" w:color="auto"/>
              <w:left w:val="nil"/>
              <w:bottom w:val="nil"/>
              <w:right w:val="nil"/>
            </w:tcBorders>
            <w:shd w:val="clear" w:color="auto" w:fill="auto"/>
            <w:noWrap/>
            <w:vAlign w:val="bottom"/>
            <w:hideMark/>
          </w:tcPr>
          <w:p w14:paraId="4FC7BFD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0.30</w:t>
            </w:r>
          </w:p>
        </w:tc>
        <w:tc>
          <w:tcPr>
            <w:tcW w:w="582" w:type="dxa"/>
            <w:tcBorders>
              <w:top w:val="single" w:sz="4" w:space="0" w:color="auto"/>
              <w:left w:val="nil"/>
              <w:bottom w:val="nil"/>
              <w:right w:val="nil"/>
            </w:tcBorders>
            <w:shd w:val="clear" w:color="auto" w:fill="auto"/>
            <w:noWrap/>
            <w:vAlign w:val="bottom"/>
            <w:hideMark/>
          </w:tcPr>
          <w:p w14:paraId="3D17C8C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single" w:sz="4" w:space="0" w:color="auto"/>
              <w:left w:val="nil"/>
              <w:bottom w:val="nil"/>
              <w:right w:val="nil"/>
            </w:tcBorders>
            <w:shd w:val="clear" w:color="auto" w:fill="auto"/>
            <w:noWrap/>
            <w:vAlign w:val="bottom"/>
            <w:hideMark/>
          </w:tcPr>
          <w:p w14:paraId="547EC8D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0.19</w:t>
            </w:r>
          </w:p>
        </w:tc>
        <w:tc>
          <w:tcPr>
            <w:tcW w:w="582" w:type="dxa"/>
            <w:tcBorders>
              <w:top w:val="single" w:sz="4" w:space="0" w:color="auto"/>
              <w:left w:val="nil"/>
              <w:bottom w:val="nil"/>
              <w:right w:val="single" w:sz="4" w:space="0" w:color="auto"/>
            </w:tcBorders>
            <w:shd w:val="clear" w:color="auto" w:fill="auto"/>
            <w:noWrap/>
            <w:vAlign w:val="bottom"/>
            <w:hideMark/>
          </w:tcPr>
          <w:p w14:paraId="1EECE48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single" w:sz="4" w:space="0" w:color="auto"/>
              <w:left w:val="single" w:sz="4" w:space="0" w:color="auto"/>
              <w:bottom w:val="nil"/>
              <w:right w:val="nil"/>
            </w:tcBorders>
            <w:shd w:val="clear" w:color="auto" w:fill="auto"/>
            <w:noWrap/>
            <w:vAlign w:val="bottom"/>
            <w:hideMark/>
          </w:tcPr>
          <w:p w14:paraId="0108273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2.04</w:t>
            </w:r>
          </w:p>
        </w:tc>
        <w:tc>
          <w:tcPr>
            <w:tcW w:w="596" w:type="dxa"/>
            <w:tcBorders>
              <w:top w:val="single" w:sz="4" w:space="0" w:color="auto"/>
              <w:left w:val="nil"/>
              <w:bottom w:val="nil"/>
              <w:right w:val="nil"/>
            </w:tcBorders>
            <w:shd w:val="clear" w:color="auto" w:fill="auto"/>
            <w:noWrap/>
            <w:vAlign w:val="bottom"/>
            <w:hideMark/>
          </w:tcPr>
          <w:p w14:paraId="30D58C2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0.37</w:t>
            </w:r>
          </w:p>
        </w:tc>
      </w:tr>
      <w:tr w:rsidR="00984073" w:rsidRPr="0011612E" w14:paraId="1B913C12"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4B900C38"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B</w:t>
            </w:r>
          </w:p>
        </w:tc>
        <w:tc>
          <w:tcPr>
            <w:tcW w:w="582" w:type="dxa"/>
            <w:tcBorders>
              <w:top w:val="nil"/>
              <w:left w:val="single" w:sz="4" w:space="0" w:color="auto"/>
              <w:bottom w:val="nil"/>
              <w:right w:val="nil"/>
            </w:tcBorders>
            <w:shd w:val="clear" w:color="auto" w:fill="auto"/>
            <w:noWrap/>
            <w:vAlign w:val="bottom"/>
            <w:hideMark/>
          </w:tcPr>
          <w:p w14:paraId="70318C5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0.04</w:t>
            </w:r>
          </w:p>
        </w:tc>
        <w:tc>
          <w:tcPr>
            <w:tcW w:w="582" w:type="dxa"/>
            <w:tcBorders>
              <w:top w:val="nil"/>
              <w:left w:val="nil"/>
              <w:bottom w:val="nil"/>
              <w:right w:val="nil"/>
            </w:tcBorders>
            <w:shd w:val="clear" w:color="auto" w:fill="auto"/>
            <w:noWrap/>
            <w:vAlign w:val="bottom"/>
            <w:hideMark/>
          </w:tcPr>
          <w:p w14:paraId="37E276A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0.09</w:t>
            </w:r>
          </w:p>
        </w:tc>
        <w:tc>
          <w:tcPr>
            <w:tcW w:w="582" w:type="dxa"/>
            <w:tcBorders>
              <w:top w:val="nil"/>
              <w:left w:val="nil"/>
              <w:bottom w:val="nil"/>
              <w:right w:val="nil"/>
            </w:tcBorders>
            <w:shd w:val="clear" w:color="auto" w:fill="auto"/>
            <w:noWrap/>
            <w:vAlign w:val="bottom"/>
            <w:hideMark/>
          </w:tcPr>
          <w:p w14:paraId="05EE6DE3"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0.13</w:t>
            </w:r>
          </w:p>
        </w:tc>
        <w:tc>
          <w:tcPr>
            <w:tcW w:w="582" w:type="dxa"/>
            <w:tcBorders>
              <w:top w:val="nil"/>
              <w:left w:val="nil"/>
              <w:bottom w:val="nil"/>
              <w:right w:val="nil"/>
            </w:tcBorders>
            <w:shd w:val="clear" w:color="auto" w:fill="auto"/>
            <w:noWrap/>
            <w:vAlign w:val="bottom"/>
            <w:hideMark/>
          </w:tcPr>
          <w:p w14:paraId="26FA5E0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0.17</w:t>
            </w:r>
          </w:p>
        </w:tc>
        <w:tc>
          <w:tcPr>
            <w:tcW w:w="582" w:type="dxa"/>
            <w:tcBorders>
              <w:top w:val="nil"/>
              <w:left w:val="nil"/>
              <w:bottom w:val="nil"/>
              <w:right w:val="nil"/>
            </w:tcBorders>
            <w:shd w:val="clear" w:color="auto" w:fill="auto"/>
            <w:noWrap/>
            <w:vAlign w:val="bottom"/>
            <w:hideMark/>
          </w:tcPr>
          <w:p w14:paraId="6DF7089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0.21</w:t>
            </w:r>
          </w:p>
        </w:tc>
        <w:tc>
          <w:tcPr>
            <w:tcW w:w="582" w:type="dxa"/>
            <w:tcBorders>
              <w:top w:val="nil"/>
              <w:left w:val="nil"/>
              <w:bottom w:val="nil"/>
              <w:right w:val="nil"/>
            </w:tcBorders>
            <w:shd w:val="clear" w:color="auto" w:fill="auto"/>
            <w:noWrap/>
            <w:vAlign w:val="bottom"/>
            <w:hideMark/>
          </w:tcPr>
          <w:p w14:paraId="391169F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0.23</w:t>
            </w:r>
          </w:p>
        </w:tc>
        <w:tc>
          <w:tcPr>
            <w:tcW w:w="582" w:type="dxa"/>
            <w:tcBorders>
              <w:top w:val="nil"/>
              <w:left w:val="nil"/>
              <w:bottom w:val="nil"/>
              <w:right w:val="nil"/>
            </w:tcBorders>
            <w:shd w:val="clear" w:color="auto" w:fill="auto"/>
            <w:noWrap/>
            <w:vAlign w:val="bottom"/>
            <w:hideMark/>
          </w:tcPr>
          <w:p w14:paraId="6C1AEBC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0.24</w:t>
            </w:r>
          </w:p>
        </w:tc>
        <w:tc>
          <w:tcPr>
            <w:tcW w:w="582" w:type="dxa"/>
            <w:tcBorders>
              <w:top w:val="nil"/>
              <w:left w:val="nil"/>
              <w:bottom w:val="nil"/>
              <w:right w:val="nil"/>
            </w:tcBorders>
            <w:shd w:val="clear" w:color="auto" w:fill="auto"/>
            <w:noWrap/>
            <w:vAlign w:val="bottom"/>
            <w:hideMark/>
          </w:tcPr>
          <w:p w14:paraId="5FD4940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0.20</w:t>
            </w:r>
          </w:p>
        </w:tc>
        <w:tc>
          <w:tcPr>
            <w:tcW w:w="582" w:type="dxa"/>
            <w:tcBorders>
              <w:top w:val="nil"/>
              <w:left w:val="nil"/>
              <w:bottom w:val="nil"/>
              <w:right w:val="nil"/>
            </w:tcBorders>
            <w:shd w:val="clear" w:color="auto" w:fill="auto"/>
            <w:noWrap/>
            <w:vAlign w:val="bottom"/>
            <w:hideMark/>
          </w:tcPr>
          <w:p w14:paraId="793F9CE4"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0.13</w:t>
            </w:r>
          </w:p>
        </w:tc>
        <w:tc>
          <w:tcPr>
            <w:tcW w:w="582" w:type="dxa"/>
            <w:tcBorders>
              <w:top w:val="nil"/>
              <w:left w:val="nil"/>
              <w:bottom w:val="nil"/>
              <w:right w:val="single" w:sz="4" w:space="0" w:color="auto"/>
            </w:tcBorders>
            <w:shd w:val="clear" w:color="auto" w:fill="auto"/>
            <w:noWrap/>
            <w:vAlign w:val="bottom"/>
            <w:hideMark/>
          </w:tcPr>
          <w:p w14:paraId="1872DA8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093739A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1.44</w:t>
            </w:r>
          </w:p>
        </w:tc>
        <w:tc>
          <w:tcPr>
            <w:tcW w:w="596" w:type="dxa"/>
            <w:tcBorders>
              <w:top w:val="nil"/>
              <w:left w:val="nil"/>
              <w:bottom w:val="nil"/>
              <w:right w:val="nil"/>
            </w:tcBorders>
            <w:shd w:val="clear" w:color="auto" w:fill="auto"/>
            <w:noWrap/>
            <w:vAlign w:val="bottom"/>
            <w:hideMark/>
          </w:tcPr>
          <w:p w14:paraId="26AB7AC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r>
      <w:tr w:rsidR="00984073" w:rsidRPr="0011612E" w14:paraId="6B438C03"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2DBA3EFB"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C</w:t>
            </w:r>
          </w:p>
        </w:tc>
        <w:tc>
          <w:tcPr>
            <w:tcW w:w="582" w:type="dxa"/>
            <w:tcBorders>
              <w:top w:val="nil"/>
              <w:left w:val="single" w:sz="4" w:space="0" w:color="auto"/>
              <w:bottom w:val="nil"/>
              <w:right w:val="nil"/>
            </w:tcBorders>
            <w:shd w:val="clear" w:color="auto" w:fill="auto"/>
            <w:noWrap/>
            <w:vAlign w:val="bottom"/>
            <w:hideMark/>
          </w:tcPr>
          <w:p w14:paraId="5D0EDEC0"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0.08</w:t>
            </w:r>
          </w:p>
        </w:tc>
        <w:tc>
          <w:tcPr>
            <w:tcW w:w="582" w:type="dxa"/>
            <w:tcBorders>
              <w:top w:val="nil"/>
              <w:left w:val="nil"/>
              <w:bottom w:val="nil"/>
              <w:right w:val="nil"/>
            </w:tcBorders>
            <w:shd w:val="clear" w:color="auto" w:fill="auto"/>
            <w:noWrap/>
            <w:vAlign w:val="bottom"/>
            <w:hideMark/>
          </w:tcPr>
          <w:p w14:paraId="1E84551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0.16</w:t>
            </w:r>
          </w:p>
        </w:tc>
        <w:tc>
          <w:tcPr>
            <w:tcW w:w="582" w:type="dxa"/>
            <w:tcBorders>
              <w:top w:val="nil"/>
              <w:left w:val="nil"/>
              <w:bottom w:val="nil"/>
              <w:right w:val="nil"/>
            </w:tcBorders>
            <w:shd w:val="clear" w:color="auto" w:fill="auto"/>
            <w:noWrap/>
            <w:vAlign w:val="bottom"/>
            <w:hideMark/>
          </w:tcPr>
          <w:p w14:paraId="55C188C1"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0.24</w:t>
            </w:r>
          </w:p>
        </w:tc>
        <w:tc>
          <w:tcPr>
            <w:tcW w:w="582" w:type="dxa"/>
            <w:tcBorders>
              <w:top w:val="nil"/>
              <w:left w:val="nil"/>
              <w:bottom w:val="nil"/>
              <w:right w:val="nil"/>
            </w:tcBorders>
            <w:shd w:val="clear" w:color="auto" w:fill="auto"/>
            <w:noWrap/>
            <w:vAlign w:val="bottom"/>
            <w:hideMark/>
          </w:tcPr>
          <w:p w14:paraId="7CA84ACC"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0.32</w:t>
            </w:r>
          </w:p>
        </w:tc>
        <w:tc>
          <w:tcPr>
            <w:tcW w:w="582" w:type="dxa"/>
            <w:tcBorders>
              <w:top w:val="nil"/>
              <w:left w:val="nil"/>
              <w:bottom w:val="nil"/>
              <w:right w:val="nil"/>
            </w:tcBorders>
            <w:shd w:val="clear" w:color="auto" w:fill="auto"/>
            <w:noWrap/>
            <w:vAlign w:val="bottom"/>
            <w:hideMark/>
          </w:tcPr>
          <w:p w14:paraId="5F4A698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0.38</w:t>
            </w:r>
          </w:p>
        </w:tc>
        <w:tc>
          <w:tcPr>
            <w:tcW w:w="582" w:type="dxa"/>
            <w:tcBorders>
              <w:top w:val="nil"/>
              <w:left w:val="nil"/>
              <w:bottom w:val="nil"/>
              <w:right w:val="nil"/>
            </w:tcBorders>
            <w:shd w:val="clear" w:color="auto" w:fill="auto"/>
            <w:noWrap/>
            <w:vAlign w:val="bottom"/>
            <w:hideMark/>
          </w:tcPr>
          <w:p w14:paraId="44BF056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0.44</w:t>
            </w:r>
          </w:p>
        </w:tc>
        <w:tc>
          <w:tcPr>
            <w:tcW w:w="582" w:type="dxa"/>
            <w:tcBorders>
              <w:top w:val="nil"/>
              <w:left w:val="nil"/>
              <w:bottom w:val="nil"/>
              <w:right w:val="nil"/>
            </w:tcBorders>
            <w:shd w:val="clear" w:color="auto" w:fill="auto"/>
            <w:noWrap/>
            <w:vAlign w:val="bottom"/>
            <w:hideMark/>
          </w:tcPr>
          <w:p w14:paraId="6F403F4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0.50</w:t>
            </w:r>
          </w:p>
        </w:tc>
        <w:tc>
          <w:tcPr>
            <w:tcW w:w="582" w:type="dxa"/>
            <w:tcBorders>
              <w:top w:val="nil"/>
              <w:left w:val="nil"/>
              <w:bottom w:val="nil"/>
              <w:right w:val="nil"/>
            </w:tcBorders>
            <w:shd w:val="clear" w:color="auto" w:fill="auto"/>
            <w:noWrap/>
            <w:vAlign w:val="bottom"/>
            <w:hideMark/>
          </w:tcPr>
          <w:p w14:paraId="0EC94DDC"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0.40</w:t>
            </w:r>
          </w:p>
        </w:tc>
        <w:tc>
          <w:tcPr>
            <w:tcW w:w="582" w:type="dxa"/>
            <w:tcBorders>
              <w:top w:val="nil"/>
              <w:left w:val="nil"/>
              <w:bottom w:val="nil"/>
              <w:right w:val="nil"/>
            </w:tcBorders>
            <w:shd w:val="clear" w:color="auto" w:fill="auto"/>
            <w:noWrap/>
            <w:vAlign w:val="bottom"/>
            <w:hideMark/>
          </w:tcPr>
          <w:p w14:paraId="5BBC9F2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nil"/>
              <w:left w:val="nil"/>
              <w:bottom w:val="nil"/>
              <w:right w:val="single" w:sz="4" w:space="0" w:color="auto"/>
            </w:tcBorders>
            <w:shd w:val="clear" w:color="auto" w:fill="auto"/>
            <w:noWrap/>
            <w:vAlign w:val="bottom"/>
            <w:hideMark/>
          </w:tcPr>
          <w:p w14:paraId="6E3277C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2129FA9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2.78</w:t>
            </w:r>
          </w:p>
        </w:tc>
        <w:tc>
          <w:tcPr>
            <w:tcW w:w="596" w:type="dxa"/>
            <w:tcBorders>
              <w:top w:val="nil"/>
              <w:left w:val="nil"/>
              <w:bottom w:val="nil"/>
              <w:right w:val="nil"/>
            </w:tcBorders>
            <w:shd w:val="clear" w:color="auto" w:fill="auto"/>
            <w:noWrap/>
            <w:vAlign w:val="bottom"/>
            <w:hideMark/>
          </w:tcPr>
          <w:p w14:paraId="6280337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0.51</w:t>
            </w:r>
          </w:p>
        </w:tc>
      </w:tr>
      <w:tr w:rsidR="00984073" w:rsidRPr="0011612E" w14:paraId="49CAC95B"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195F2DE0"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D</w:t>
            </w:r>
          </w:p>
        </w:tc>
        <w:tc>
          <w:tcPr>
            <w:tcW w:w="582" w:type="dxa"/>
            <w:tcBorders>
              <w:top w:val="nil"/>
              <w:left w:val="single" w:sz="4" w:space="0" w:color="auto"/>
              <w:bottom w:val="nil"/>
              <w:right w:val="nil"/>
            </w:tcBorders>
            <w:shd w:val="clear" w:color="auto" w:fill="auto"/>
            <w:noWrap/>
            <w:vAlign w:val="bottom"/>
            <w:hideMark/>
          </w:tcPr>
          <w:p w14:paraId="736FBBA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0.08</w:t>
            </w:r>
          </w:p>
        </w:tc>
        <w:tc>
          <w:tcPr>
            <w:tcW w:w="582" w:type="dxa"/>
            <w:tcBorders>
              <w:top w:val="nil"/>
              <w:left w:val="nil"/>
              <w:bottom w:val="nil"/>
              <w:right w:val="nil"/>
            </w:tcBorders>
            <w:shd w:val="clear" w:color="auto" w:fill="auto"/>
            <w:noWrap/>
            <w:vAlign w:val="bottom"/>
            <w:hideMark/>
          </w:tcPr>
          <w:p w14:paraId="207F926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0.14</w:t>
            </w:r>
          </w:p>
        </w:tc>
        <w:tc>
          <w:tcPr>
            <w:tcW w:w="582" w:type="dxa"/>
            <w:tcBorders>
              <w:top w:val="nil"/>
              <w:left w:val="nil"/>
              <w:bottom w:val="nil"/>
              <w:right w:val="nil"/>
            </w:tcBorders>
            <w:shd w:val="clear" w:color="auto" w:fill="auto"/>
            <w:noWrap/>
            <w:vAlign w:val="bottom"/>
            <w:hideMark/>
          </w:tcPr>
          <w:p w14:paraId="59200F8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0.20</w:t>
            </w:r>
          </w:p>
        </w:tc>
        <w:tc>
          <w:tcPr>
            <w:tcW w:w="582" w:type="dxa"/>
            <w:tcBorders>
              <w:top w:val="nil"/>
              <w:left w:val="nil"/>
              <w:bottom w:val="nil"/>
              <w:right w:val="nil"/>
            </w:tcBorders>
            <w:shd w:val="clear" w:color="auto" w:fill="auto"/>
            <w:noWrap/>
            <w:vAlign w:val="bottom"/>
            <w:hideMark/>
          </w:tcPr>
          <w:p w14:paraId="3E00518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0.24</w:t>
            </w:r>
          </w:p>
        </w:tc>
        <w:tc>
          <w:tcPr>
            <w:tcW w:w="582" w:type="dxa"/>
            <w:tcBorders>
              <w:top w:val="nil"/>
              <w:left w:val="nil"/>
              <w:bottom w:val="nil"/>
              <w:right w:val="nil"/>
            </w:tcBorders>
            <w:shd w:val="clear" w:color="auto" w:fill="auto"/>
            <w:noWrap/>
            <w:vAlign w:val="bottom"/>
            <w:hideMark/>
          </w:tcPr>
          <w:p w14:paraId="2D45B88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nil"/>
              <w:left w:val="nil"/>
              <w:bottom w:val="nil"/>
              <w:right w:val="nil"/>
            </w:tcBorders>
            <w:shd w:val="clear" w:color="auto" w:fill="auto"/>
            <w:noWrap/>
            <w:vAlign w:val="bottom"/>
            <w:hideMark/>
          </w:tcPr>
          <w:p w14:paraId="66C5349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0.28</w:t>
            </w:r>
          </w:p>
        </w:tc>
        <w:tc>
          <w:tcPr>
            <w:tcW w:w="582" w:type="dxa"/>
            <w:tcBorders>
              <w:top w:val="nil"/>
              <w:left w:val="nil"/>
              <w:bottom w:val="nil"/>
              <w:right w:val="nil"/>
            </w:tcBorders>
            <w:shd w:val="clear" w:color="auto" w:fill="auto"/>
            <w:noWrap/>
            <w:vAlign w:val="bottom"/>
            <w:hideMark/>
          </w:tcPr>
          <w:p w14:paraId="367F500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0.30</w:t>
            </w:r>
          </w:p>
        </w:tc>
        <w:tc>
          <w:tcPr>
            <w:tcW w:w="582" w:type="dxa"/>
            <w:tcBorders>
              <w:top w:val="nil"/>
              <w:left w:val="nil"/>
              <w:bottom w:val="nil"/>
              <w:right w:val="nil"/>
            </w:tcBorders>
            <w:shd w:val="clear" w:color="auto" w:fill="auto"/>
            <w:noWrap/>
            <w:vAlign w:val="bottom"/>
            <w:hideMark/>
          </w:tcPr>
          <w:p w14:paraId="4D2D3DA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0.24</w:t>
            </w:r>
          </w:p>
        </w:tc>
        <w:tc>
          <w:tcPr>
            <w:tcW w:w="582" w:type="dxa"/>
            <w:tcBorders>
              <w:top w:val="nil"/>
              <w:left w:val="nil"/>
              <w:bottom w:val="nil"/>
              <w:right w:val="nil"/>
            </w:tcBorders>
            <w:shd w:val="clear" w:color="auto" w:fill="auto"/>
            <w:noWrap/>
            <w:vAlign w:val="bottom"/>
            <w:hideMark/>
          </w:tcPr>
          <w:p w14:paraId="5BA43E0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0.14</w:t>
            </w:r>
          </w:p>
        </w:tc>
        <w:tc>
          <w:tcPr>
            <w:tcW w:w="582" w:type="dxa"/>
            <w:tcBorders>
              <w:top w:val="nil"/>
              <w:left w:val="nil"/>
              <w:bottom w:val="nil"/>
              <w:right w:val="single" w:sz="4" w:space="0" w:color="auto"/>
            </w:tcBorders>
            <w:shd w:val="clear" w:color="auto" w:fill="auto"/>
            <w:noWrap/>
            <w:vAlign w:val="bottom"/>
            <w:hideMark/>
          </w:tcPr>
          <w:p w14:paraId="46EDBD5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298557B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1.88</w:t>
            </w:r>
          </w:p>
        </w:tc>
        <w:tc>
          <w:tcPr>
            <w:tcW w:w="596" w:type="dxa"/>
            <w:tcBorders>
              <w:top w:val="nil"/>
              <w:left w:val="nil"/>
              <w:bottom w:val="nil"/>
              <w:right w:val="nil"/>
            </w:tcBorders>
            <w:shd w:val="clear" w:color="auto" w:fill="auto"/>
            <w:noWrap/>
            <w:vAlign w:val="bottom"/>
            <w:hideMark/>
          </w:tcPr>
          <w:p w14:paraId="7B821E21"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0.34</w:t>
            </w:r>
          </w:p>
        </w:tc>
      </w:tr>
      <w:tr w:rsidR="00984073" w:rsidRPr="0011612E" w14:paraId="2ACE100D"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039B7B28"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E</w:t>
            </w:r>
          </w:p>
        </w:tc>
        <w:tc>
          <w:tcPr>
            <w:tcW w:w="582" w:type="dxa"/>
            <w:tcBorders>
              <w:top w:val="nil"/>
              <w:left w:val="single" w:sz="4" w:space="0" w:color="auto"/>
              <w:bottom w:val="nil"/>
              <w:right w:val="nil"/>
            </w:tcBorders>
            <w:shd w:val="clear" w:color="auto" w:fill="auto"/>
            <w:noWrap/>
            <w:vAlign w:val="bottom"/>
            <w:hideMark/>
          </w:tcPr>
          <w:p w14:paraId="7ED071D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0.09</w:t>
            </w:r>
          </w:p>
        </w:tc>
        <w:tc>
          <w:tcPr>
            <w:tcW w:w="582" w:type="dxa"/>
            <w:tcBorders>
              <w:top w:val="nil"/>
              <w:left w:val="nil"/>
              <w:bottom w:val="nil"/>
              <w:right w:val="nil"/>
            </w:tcBorders>
            <w:shd w:val="clear" w:color="auto" w:fill="auto"/>
            <w:noWrap/>
            <w:vAlign w:val="bottom"/>
            <w:hideMark/>
          </w:tcPr>
          <w:p w14:paraId="1DAD1E4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0.17</w:t>
            </w:r>
          </w:p>
        </w:tc>
        <w:tc>
          <w:tcPr>
            <w:tcW w:w="582" w:type="dxa"/>
            <w:tcBorders>
              <w:top w:val="nil"/>
              <w:left w:val="nil"/>
              <w:bottom w:val="nil"/>
              <w:right w:val="nil"/>
            </w:tcBorders>
            <w:shd w:val="clear" w:color="auto" w:fill="auto"/>
            <w:noWrap/>
            <w:vAlign w:val="bottom"/>
            <w:hideMark/>
          </w:tcPr>
          <w:p w14:paraId="157042EC"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nil"/>
              <w:left w:val="nil"/>
              <w:bottom w:val="nil"/>
              <w:right w:val="nil"/>
            </w:tcBorders>
            <w:shd w:val="clear" w:color="auto" w:fill="auto"/>
            <w:noWrap/>
            <w:vAlign w:val="bottom"/>
            <w:hideMark/>
          </w:tcPr>
          <w:p w14:paraId="0EC40E23"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0.34</w:t>
            </w:r>
          </w:p>
        </w:tc>
        <w:tc>
          <w:tcPr>
            <w:tcW w:w="582" w:type="dxa"/>
            <w:tcBorders>
              <w:top w:val="nil"/>
              <w:left w:val="nil"/>
              <w:bottom w:val="nil"/>
              <w:right w:val="nil"/>
            </w:tcBorders>
            <w:shd w:val="clear" w:color="auto" w:fill="auto"/>
            <w:noWrap/>
            <w:vAlign w:val="bottom"/>
            <w:hideMark/>
          </w:tcPr>
          <w:p w14:paraId="125F0340"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0.36</w:t>
            </w:r>
          </w:p>
        </w:tc>
        <w:tc>
          <w:tcPr>
            <w:tcW w:w="582" w:type="dxa"/>
            <w:tcBorders>
              <w:top w:val="nil"/>
              <w:left w:val="nil"/>
              <w:bottom w:val="nil"/>
              <w:right w:val="nil"/>
            </w:tcBorders>
            <w:shd w:val="clear" w:color="auto" w:fill="auto"/>
            <w:noWrap/>
            <w:vAlign w:val="bottom"/>
            <w:hideMark/>
          </w:tcPr>
          <w:p w14:paraId="620C5A0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0.37</w:t>
            </w:r>
          </w:p>
        </w:tc>
        <w:tc>
          <w:tcPr>
            <w:tcW w:w="582" w:type="dxa"/>
            <w:tcBorders>
              <w:top w:val="nil"/>
              <w:left w:val="nil"/>
              <w:bottom w:val="nil"/>
              <w:right w:val="nil"/>
            </w:tcBorders>
            <w:shd w:val="clear" w:color="auto" w:fill="auto"/>
            <w:noWrap/>
            <w:vAlign w:val="bottom"/>
            <w:hideMark/>
          </w:tcPr>
          <w:p w14:paraId="0EE5DB91"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0.34</w:t>
            </w:r>
          </w:p>
        </w:tc>
        <w:tc>
          <w:tcPr>
            <w:tcW w:w="582" w:type="dxa"/>
            <w:tcBorders>
              <w:top w:val="nil"/>
              <w:left w:val="nil"/>
              <w:bottom w:val="nil"/>
              <w:right w:val="nil"/>
            </w:tcBorders>
            <w:shd w:val="clear" w:color="auto" w:fill="auto"/>
            <w:noWrap/>
            <w:vAlign w:val="bottom"/>
            <w:hideMark/>
          </w:tcPr>
          <w:p w14:paraId="2324FF2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0.30</w:t>
            </w:r>
          </w:p>
        </w:tc>
        <w:tc>
          <w:tcPr>
            <w:tcW w:w="582" w:type="dxa"/>
            <w:tcBorders>
              <w:top w:val="nil"/>
              <w:left w:val="nil"/>
              <w:bottom w:val="nil"/>
              <w:right w:val="nil"/>
            </w:tcBorders>
            <w:shd w:val="clear" w:color="auto" w:fill="auto"/>
            <w:noWrap/>
            <w:vAlign w:val="bottom"/>
            <w:hideMark/>
          </w:tcPr>
          <w:p w14:paraId="5D5E2F5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0.19</w:t>
            </w:r>
          </w:p>
        </w:tc>
        <w:tc>
          <w:tcPr>
            <w:tcW w:w="582" w:type="dxa"/>
            <w:tcBorders>
              <w:top w:val="nil"/>
              <w:left w:val="nil"/>
              <w:bottom w:val="nil"/>
              <w:right w:val="single" w:sz="4" w:space="0" w:color="auto"/>
            </w:tcBorders>
            <w:shd w:val="clear" w:color="auto" w:fill="auto"/>
            <w:noWrap/>
            <w:vAlign w:val="bottom"/>
            <w:hideMark/>
          </w:tcPr>
          <w:p w14:paraId="014B468C"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3FDE1AD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2.41</w:t>
            </w:r>
          </w:p>
        </w:tc>
        <w:tc>
          <w:tcPr>
            <w:tcW w:w="596" w:type="dxa"/>
            <w:tcBorders>
              <w:top w:val="nil"/>
              <w:left w:val="nil"/>
              <w:bottom w:val="nil"/>
              <w:right w:val="nil"/>
            </w:tcBorders>
            <w:shd w:val="clear" w:color="auto" w:fill="auto"/>
            <w:noWrap/>
            <w:vAlign w:val="bottom"/>
            <w:hideMark/>
          </w:tcPr>
          <w:p w14:paraId="46B86380"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0.44</w:t>
            </w:r>
          </w:p>
        </w:tc>
      </w:tr>
      <w:tr w:rsidR="00984073" w:rsidRPr="0011612E" w14:paraId="33F36A22"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3E4A8170"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F</w:t>
            </w:r>
          </w:p>
        </w:tc>
        <w:tc>
          <w:tcPr>
            <w:tcW w:w="582" w:type="dxa"/>
            <w:tcBorders>
              <w:top w:val="nil"/>
              <w:left w:val="single" w:sz="4" w:space="0" w:color="auto"/>
              <w:bottom w:val="nil"/>
              <w:right w:val="nil"/>
            </w:tcBorders>
            <w:shd w:val="clear" w:color="auto" w:fill="auto"/>
            <w:noWrap/>
            <w:vAlign w:val="bottom"/>
            <w:hideMark/>
          </w:tcPr>
          <w:p w14:paraId="4B5480C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0.07</w:t>
            </w:r>
          </w:p>
        </w:tc>
        <w:tc>
          <w:tcPr>
            <w:tcW w:w="582" w:type="dxa"/>
            <w:tcBorders>
              <w:top w:val="nil"/>
              <w:left w:val="nil"/>
              <w:bottom w:val="nil"/>
              <w:right w:val="nil"/>
            </w:tcBorders>
            <w:shd w:val="clear" w:color="auto" w:fill="auto"/>
            <w:noWrap/>
            <w:vAlign w:val="bottom"/>
            <w:hideMark/>
          </w:tcPr>
          <w:p w14:paraId="03DE0D8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0.13</w:t>
            </w:r>
          </w:p>
        </w:tc>
        <w:tc>
          <w:tcPr>
            <w:tcW w:w="582" w:type="dxa"/>
            <w:tcBorders>
              <w:top w:val="nil"/>
              <w:left w:val="nil"/>
              <w:bottom w:val="nil"/>
              <w:right w:val="nil"/>
            </w:tcBorders>
            <w:shd w:val="clear" w:color="auto" w:fill="auto"/>
            <w:noWrap/>
            <w:vAlign w:val="bottom"/>
            <w:hideMark/>
          </w:tcPr>
          <w:p w14:paraId="78B9610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0.19</w:t>
            </w:r>
          </w:p>
        </w:tc>
        <w:tc>
          <w:tcPr>
            <w:tcW w:w="582" w:type="dxa"/>
            <w:tcBorders>
              <w:top w:val="nil"/>
              <w:left w:val="nil"/>
              <w:bottom w:val="nil"/>
              <w:right w:val="nil"/>
            </w:tcBorders>
            <w:shd w:val="clear" w:color="auto" w:fill="auto"/>
            <w:noWrap/>
            <w:vAlign w:val="bottom"/>
            <w:hideMark/>
          </w:tcPr>
          <w:p w14:paraId="7ACB84A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0.23</w:t>
            </w:r>
          </w:p>
        </w:tc>
        <w:tc>
          <w:tcPr>
            <w:tcW w:w="582" w:type="dxa"/>
            <w:tcBorders>
              <w:top w:val="nil"/>
              <w:left w:val="nil"/>
              <w:bottom w:val="nil"/>
              <w:right w:val="nil"/>
            </w:tcBorders>
            <w:shd w:val="clear" w:color="auto" w:fill="auto"/>
            <w:noWrap/>
            <w:vAlign w:val="bottom"/>
            <w:hideMark/>
          </w:tcPr>
          <w:p w14:paraId="6CAE0A4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0.27</w:t>
            </w:r>
          </w:p>
        </w:tc>
        <w:tc>
          <w:tcPr>
            <w:tcW w:w="582" w:type="dxa"/>
            <w:tcBorders>
              <w:top w:val="nil"/>
              <w:left w:val="nil"/>
              <w:bottom w:val="nil"/>
              <w:right w:val="nil"/>
            </w:tcBorders>
            <w:shd w:val="clear" w:color="auto" w:fill="auto"/>
            <w:noWrap/>
            <w:vAlign w:val="bottom"/>
            <w:hideMark/>
          </w:tcPr>
          <w:p w14:paraId="6BCC7A5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0.31</w:t>
            </w:r>
          </w:p>
        </w:tc>
        <w:tc>
          <w:tcPr>
            <w:tcW w:w="582" w:type="dxa"/>
            <w:tcBorders>
              <w:top w:val="nil"/>
              <w:left w:val="nil"/>
              <w:bottom w:val="nil"/>
              <w:right w:val="nil"/>
            </w:tcBorders>
            <w:shd w:val="clear" w:color="auto" w:fill="auto"/>
            <w:noWrap/>
            <w:vAlign w:val="bottom"/>
            <w:hideMark/>
          </w:tcPr>
          <w:p w14:paraId="1E7E38E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0.34</w:t>
            </w:r>
          </w:p>
        </w:tc>
        <w:tc>
          <w:tcPr>
            <w:tcW w:w="582" w:type="dxa"/>
            <w:tcBorders>
              <w:top w:val="nil"/>
              <w:left w:val="nil"/>
              <w:bottom w:val="nil"/>
              <w:right w:val="nil"/>
            </w:tcBorders>
            <w:shd w:val="clear" w:color="auto" w:fill="auto"/>
            <w:noWrap/>
            <w:vAlign w:val="bottom"/>
            <w:hideMark/>
          </w:tcPr>
          <w:p w14:paraId="6B59623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0.36</w:t>
            </w:r>
          </w:p>
        </w:tc>
        <w:tc>
          <w:tcPr>
            <w:tcW w:w="582" w:type="dxa"/>
            <w:tcBorders>
              <w:top w:val="nil"/>
              <w:left w:val="nil"/>
              <w:bottom w:val="nil"/>
              <w:right w:val="nil"/>
            </w:tcBorders>
            <w:shd w:val="clear" w:color="auto" w:fill="auto"/>
            <w:noWrap/>
            <w:vAlign w:val="bottom"/>
            <w:hideMark/>
          </w:tcPr>
          <w:p w14:paraId="5F19943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0.33</w:t>
            </w:r>
          </w:p>
        </w:tc>
        <w:tc>
          <w:tcPr>
            <w:tcW w:w="582" w:type="dxa"/>
            <w:tcBorders>
              <w:top w:val="nil"/>
              <w:left w:val="nil"/>
              <w:bottom w:val="nil"/>
              <w:right w:val="single" w:sz="4" w:space="0" w:color="auto"/>
            </w:tcBorders>
            <w:shd w:val="clear" w:color="auto" w:fill="auto"/>
            <w:noWrap/>
            <w:vAlign w:val="bottom"/>
            <w:hideMark/>
          </w:tcPr>
          <w:p w14:paraId="73582A0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1851D1F3"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2.23</w:t>
            </w:r>
          </w:p>
        </w:tc>
        <w:tc>
          <w:tcPr>
            <w:tcW w:w="596" w:type="dxa"/>
            <w:tcBorders>
              <w:top w:val="nil"/>
              <w:left w:val="nil"/>
              <w:bottom w:val="nil"/>
              <w:right w:val="nil"/>
            </w:tcBorders>
            <w:shd w:val="clear" w:color="auto" w:fill="auto"/>
            <w:noWrap/>
            <w:vAlign w:val="bottom"/>
            <w:hideMark/>
          </w:tcPr>
          <w:p w14:paraId="15F004C3"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0.41</w:t>
            </w:r>
          </w:p>
        </w:tc>
      </w:tr>
      <w:tr w:rsidR="00984073" w:rsidRPr="0011612E" w14:paraId="79C53A76"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1C3B6429"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G</w:t>
            </w:r>
          </w:p>
        </w:tc>
        <w:tc>
          <w:tcPr>
            <w:tcW w:w="582" w:type="dxa"/>
            <w:tcBorders>
              <w:top w:val="nil"/>
              <w:left w:val="single" w:sz="4" w:space="0" w:color="auto"/>
              <w:bottom w:val="nil"/>
              <w:right w:val="nil"/>
            </w:tcBorders>
            <w:shd w:val="clear" w:color="auto" w:fill="auto"/>
            <w:noWrap/>
            <w:vAlign w:val="bottom"/>
            <w:hideMark/>
          </w:tcPr>
          <w:p w14:paraId="2D7E292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0.09</w:t>
            </w:r>
          </w:p>
        </w:tc>
        <w:tc>
          <w:tcPr>
            <w:tcW w:w="582" w:type="dxa"/>
            <w:tcBorders>
              <w:top w:val="nil"/>
              <w:left w:val="nil"/>
              <w:bottom w:val="nil"/>
              <w:right w:val="nil"/>
            </w:tcBorders>
            <w:shd w:val="clear" w:color="auto" w:fill="auto"/>
            <w:noWrap/>
            <w:vAlign w:val="bottom"/>
            <w:hideMark/>
          </w:tcPr>
          <w:p w14:paraId="5BFD6FB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0.16</w:t>
            </w:r>
          </w:p>
        </w:tc>
        <w:tc>
          <w:tcPr>
            <w:tcW w:w="582" w:type="dxa"/>
            <w:tcBorders>
              <w:top w:val="nil"/>
              <w:left w:val="nil"/>
              <w:bottom w:val="nil"/>
              <w:right w:val="nil"/>
            </w:tcBorders>
            <w:shd w:val="clear" w:color="auto" w:fill="auto"/>
            <w:noWrap/>
            <w:vAlign w:val="bottom"/>
            <w:hideMark/>
          </w:tcPr>
          <w:p w14:paraId="24B4BD2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0.23</w:t>
            </w:r>
          </w:p>
        </w:tc>
        <w:tc>
          <w:tcPr>
            <w:tcW w:w="582" w:type="dxa"/>
            <w:tcBorders>
              <w:top w:val="nil"/>
              <w:left w:val="nil"/>
              <w:bottom w:val="nil"/>
              <w:right w:val="nil"/>
            </w:tcBorders>
            <w:shd w:val="clear" w:color="auto" w:fill="auto"/>
            <w:noWrap/>
            <w:vAlign w:val="bottom"/>
            <w:hideMark/>
          </w:tcPr>
          <w:p w14:paraId="44C9D8B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0.29</w:t>
            </w:r>
          </w:p>
        </w:tc>
        <w:tc>
          <w:tcPr>
            <w:tcW w:w="582" w:type="dxa"/>
            <w:tcBorders>
              <w:top w:val="nil"/>
              <w:left w:val="nil"/>
              <w:bottom w:val="nil"/>
              <w:right w:val="nil"/>
            </w:tcBorders>
            <w:shd w:val="clear" w:color="auto" w:fill="auto"/>
            <w:noWrap/>
            <w:vAlign w:val="bottom"/>
            <w:hideMark/>
          </w:tcPr>
          <w:p w14:paraId="0E8C946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0.35</w:t>
            </w:r>
          </w:p>
        </w:tc>
        <w:tc>
          <w:tcPr>
            <w:tcW w:w="582" w:type="dxa"/>
            <w:tcBorders>
              <w:top w:val="nil"/>
              <w:left w:val="nil"/>
              <w:bottom w:val="nil"/>
              <w:right w:val="nil"/>
            </w:tcBorders>
            <w:shd w:val="clear" w:color="auto" w:fill="auto"/>
            <w:noWrap/>
            <w:vAlign w:val="bottom"/>
            <w:hideMark/>
          </w:tcPr>
          <w:p w14:paraId="42258FF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0.40</w:t>
            </w:r>
          </w:p>
        </w:tc>
        <w:tc>
          <w:tcPr>
            <w:tcW w:w="582" w:type="dxa"/>
            <w:tcBorders>
              <w:top w:val="nil"/>
              <w:left w:val="nil"/>
              <w:bottom w:val="nil"/>
              <w:right w:val="nil"/>
            </w:tcBorders>
            <w:shd w:val="clear" w:color="auto" w:fill="auto"/>
            <w:noWrap/>
            <w:vAlign w:val="bottom"/>
            <w:hideMark/>
          </w:tcPr>
          <w:p w14:paraId="361146E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0.43</w:t>
            </w:r>
          </w:p>
        </w:tc>
        <w:tc>
          <w:tcPr>
            <w:tcW w:w="582" w:type="dxa"/>
            <w:tcBorders>
              <w:top w:val="nil"/>
              <w:left w:val="nil"/>
              <w:bottom w:val="nil"/>
              <w:right w:val="nil"/>
            </w:tcBorders>
            <w:shd w:val="clear" w:color="auto" w:fill="auto"/>
            <w:noWrap/>
            <w:vAlign w:val="bottom"/>
            <w:hideMark/>
          </w:tcPr>
          <w:p w14:paraId="4FD91681"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0.39</w:t>
            </w:r>
          </w:p>
        </w:tc>
        <w:tc>
          <w:tcPr>
            <w:tcW w:w="582" w:type="dxa"/>
            <w:tcBorders>
              <w:top w:val="nil"/>
              <w:left w:val="nil"/>
              <w:bottom w:val="nil"/>
              <w:right w:val="nil"/>
            </w:tcBorders>
            <w:shd w:val="clear" w:color="auto" w:fill="auto"/>
            <w:noWrap/>
            <w:vAlign w:val="bottom"/>
            <w:hideMark/>
          </w:tcPr>
          <w:p w14:paraId="56413ADD"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0.25</w:t>
            </w:r>
          </w:p>
        </w:tc>
        <w:tc>
          <w:tcPr>
            <w:tcW w:w="582" w:type="dxa"/>
            <w:tcBorders>
              <w:top w:val="nil"/>
              <w:left w:val="nil"/>
              <w:bottom w:val="nil"/>
              <w:right w:val="single" w:sz="4" w:space="0" w:color="auto"/>
            </w:tcBorders>
            <w:shd w:val="clear" w:color="auto" w:fill="auto"/>
            <w:noWrap/>
            <w:vAlign w:val="bottom"/>
            <w:hideMark/>
          </w:tcPr>
          <w:p w14:paraId="1F7C0E9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7549B78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2.59</w:t>
            </w:r>
          </w:p>
        </w:tc>
        <w:tc>
          <w:tcPr>
            <w:tcW w:w="596" w:type="dxa"/>
            <w:tcBorders>
              <w:top w:val="nil"/>
              <w:left w:val="nil"/>
              <w:bottom w:val="nil"/>
              <w:right w:val="nil"/>
            </w:tcBorders>
            <w:shd w:val="clear" w:color="auto" w:fill="auto"/>
            <w:noWrap/>
            <w:vAlign w:val="bottom"/>
            <w:hideMark/>
          </w:tcPr>
          <w:p w14:paraId="2812F171"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0.47</w:t>
            </w:r>
          </w:p>
        </w:tc>
      </w:tr>
      <w:tr w:rsidR="00984073" w:rsidRPr="0011612E" w14:paraId="34602FC5"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1E60CCD6"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H</w:t>
            </w:r>
          </w:p>
        </w:tc>
        <w:tc>
          <w:tcPr>
            <w:tcW w:w="582" w:type="dxa"/>
            <w:tcBorders>
              <w:top w:val="nil"/>
              <w:left w:val="single" w:sz="4" w:space="0" w:color="auto"/>
              <w:bottom w:val="nil"/>
              <w:right w:val="nil"/>
            </w:tcBorders>
            <w:shd w:val="clear" w:color="auto" w:fill="auto"/>
            <w:noWrap/>
            <w:vAlign w:val="bottom"/>
            <w:hideMark/>
          </w:tcPr>
          <w:p w14:paraId="029EECE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0.09</w:t>
            </w:r>
          </w:p>
        </w:tc>
        <w:tc>
          <w:tcPr>
            <w:tcW w:w="582" w:type="dxa"/>
            <w:tcBorders>
              <w:top w:val="nil"/>
              <w:left w:val="nil"/>
              <w:bottom w:val="nil"/>
              <w:right w:val="nil"/>
            </w:tcBorders>
            <w:shd w:val="clear" w:color="auto" w:fill="auto"/>
            <w:noWrap/>
            <w:vAlign w:val="bottom"/>
            <w:hideMark/>
          </w:tcPr>
          <w:p w14:paraId="25F35ED8"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0.18</w:t>
            </w:r>
          </w:p>
        </w:tc>
        <w:tc>
          <w:tcPr>
            <w:tcW w:w="582" w:type="dxa"/>
            <w:tcBorders>
              <w:top w:val="nil"/>
              <w:left w:val="nil"/>
              <w:bottom w:val="nil"/>
              <w:right w:val="nil"/>
            </w:tcBorders>
            <w:shd w:val="clear" w:color="auto" w:fill="auto"/>
            <w:noWrap/>
            <w:vAlign w:val="bottom"/>
            <w:hideMark/>
          </w:tcPr>
          <w:p w14:paraId="048A40C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0.22</w:t>
            </w:r>
          </w:p>
        </w:tc>
        <w:tc>
          <w:tcPr>
            <w:tcW w:w="582" w:type="dxa"/>
            <w:tcBorders>
              <w:top w:val="nil"/>
              <w:left w:val="nil"/>
              <w:bottom w:val="nil"/>
              <w:right w:val="nil"/>
            </w:tcBorders>
            <w:shd w:val="clear" w:color="auto" w:fill="auto"/>
            <w:noWrap/>
            <w:vAlign w:val="bottom"/>
            <w:hideMark/>
          </w:tcPr>
          <w:p w14:paraId="46E45854"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nil"/>
              <w:left w:val="nil"/>
              <w:bottom w:val="nil"/>
              <w:right w:val="nil"/>
            </w:tcBorders>
            <w:shd w:val="clear" w:color="auto" w:fill="auto"/>
            <w:noWrap/>
            <w:vAlign w:val="bottom"/>
            <w:hideMark/>
          </w:tcPr>
          <w:p w14:paraId="411D6B4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nil"/>
              <w:left w:val="nil"/>
              <w:bottom w:val="nil"/>
              <w:right w:val="nil"/>
            </w:tcBorders>
            <w:shd w:val="clear" w:color="auto" w:fill="auto"/>
            <w:noWrap/>
            <w:vAlign w:val="bottom"/>
            <w:hideMark/>
          </w:tcPr>
          <w:p w14:paraId="20A957B0"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nil"/>
              <w:left w:val="nil"/>
              <w:bottom w:val="nil"/>
              <w:right w:val="nil"/>
            </w:tcBorders>
            <w:shd w:val="clear" w:color="auto" w:fill="auto"/>
            <w:noWrap/>
            <w:vAlign w:val="bottom"/>
            <w:hideMark/>
          </w:tcPr>
          <w:p w14:paraId="1B95CD10"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0.24</w:t>
            </w:r>
          </w:p>
        </w:tc>
        <w:tc>
          <w:tcPr>
            <w:tcW w:w="582" w:type="dxa"/>
            <w:tcBorders>
              <w:top w:val="nil"/>
              <w:left w:val="nil"/>
              <w:bottom w:val="nil"/>
              <w:right w:val="nil"/>
            </w:tcBorders>
            <w:shd w:val="clear" w:color="auto" w:fill="auto"/>
            <w:noWrap/>
            <w:vAlign w:val="bottom"/>
            <w:hideMark/>
          </w:tcPr>
          <w:p w14:paraId="5CE8954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0.20</w:t>
            </w:r>
          </w:p>
        </w:tc>
        <w:tc>
          <w:tcPr>
            <w:tcW w:w="582" w:type="dxa"/>
            <w:tcBorders>
              <w:top w:val="nil"/>
              <w:left w:val="nil"/>
              <w:bottom w:val="nil"/>
              <w:right w:val="nil"/>
            </w:tcBorders>
            <w:shd w:val="clear" w:color="auto" w:fill="auto"/>
            <w:noWrap/>
            <w:vAlign w:val="bottom"/>
            <w:hideMark/>
          </w:tcPr>
          <w:p w14:paraId="61B3ED61"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0.11</w:t>
            </w:r>
          </w:p>
        </w:tc>
        <w:tc>
          <w:tcPr>
            <w:tcW w:w="582" w:type="dxa"/>
            <w:tcBorders>
              <w:top w:val="nil"/>
              <w:left w:val="nil"/>
              <w:bottom w:val="nil"/>
              <w:right w:val="single" w:sz="4" w:space="0" w:color="auto"/>
            </w:tcBorders>
            <w:shd w:val="clear" w:color="auto" w:fill="auto"/>
            <w:noWrap/>
            <w:vAlign w:val="bottom"/>
            <w:hideMark/>
          </w:tcPr>
          <w:p w14:paraId="4EA6969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67EC6F27"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1.82</w:t>
            </w:r>
          </w:p>
        </w:tc>
        <w:tc>
          <w:tcPr>
            <w:tcW w:w="596" w:type="dxa"/>
            <w:tcBorders>
              <w:top w:val="nil"/>
              <w:left w:val="nil"/>
              <w:bottom w:val="nil"/>
              <w:right w:val="nil"/>
            </w:tcBorders>
            <w:shd w:val="clear" w:color="auto" w:fill="auto"/>
            <w:noWrap/>
            <w:vAlign w:val="bottom"/>
            <w:hideMark/>
          </w:tcPr>
          <w:p w14:paraId="747129D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0.33</w:t>
            </w:r>
          </w:p>
        </w:tc>
      </w:tr>
      <w:tr w:rsidR="00984073" w:rsidRPr="0011612E" w14:paraId="0FF11892"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691577CC"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I</w:t>
            </w:r>
          </w:p>
        </w:tc>
        <w:tc>
          <w:tcPr>
            <w:tcW w:w="582" w:type="dxa"/>
            <w:tcBorders>
              <w:top w:val="nil"/>
              <w:left w:val="single" w:sz="4" w:space="0" w:color="auto"/>
              <w:bottom w:val="nil"/>
              <w:right w:val="nil"/>
            </w:tcBorders>
            <w:shd w:val="clear" w:color="auto" w:fill="auto"/>
            <w:noWrap/>
            <w:vAlign w:val="bottom"/>
            <w:hideMark/>
          </w:tcPr>
          <w:p w14:paraId="77A1C823"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0.08</w:t>
            </w:r>
          </w:p>
        </w:tc>
        <w:tc>
          <w:tcPr>
            <w:tcW w:w="582" w:type="dxa"/>
            <w:tcBorders>
              <w:top w:val="nil"/>
              <w:left w:val="nil"/>
              <w:bottom w:val="nil"/>
              <w:right w:val="nil"/>
            </w:tcBorders>
            <w:shd w:val="clear" w:color="auto" w:fill="auto"/>
            <w:noWrap/>
            <w:vAlign w:val="bottom"/>
            <w:hideMark/>
          </w:tcPr>
          <w:p w14:paraId="1487F0A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0.16</w:t>
            </w:r>
          </w:p>
        </w:tc>
        <w:tc>
          <w:tcPr>
            <w:tcW w:w="582" w:type="dxa"/>
            <w:tcBorders>
              <w:top w:val="nil"/>
              <w:left w:val="nil"/>
              <w:bottom w:val="nil"/>
              <w:right w:val="nil"/>
            </w:tcBorders>
            <w:shd w:val="clear" w:color="auto" w:fill="auto"/>
            <w:noWrap/>
            <w:vAlign w:val="bottom"/>
            <w:hideMark/>
          </w:tcPr>
          <w:p w14:paraId="3E28464E"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0.23</w:t>
            </w:r>
          </w:p>
        </w:tc>
        <w:tc>
          <w:tcPr>
            <w:tcW w:w="582" w:type="dxa"/>
            <w:tcBorders>
              <w:top w:val="nil"/>
              <w:left w:val="nil"/>
              <w:bottom w:val="nil"/>
              <w:right w:val="nil"/>
            </w:tcBorders>
            <w:shd w:val="clear" w:color="auto" w:fill="auto"/>
            <w:noWrap/>
            <w:vAlign w:val="bottom"/>
            <w:hideMark/>
          </w:tcPr>
          <w:p w14:paraId="2A1E000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0.28</w:t>
            </w:r>
          </w:p>
        </w:tc>
        <w:tc>
          <w:tcPr>
            <w:tcW w:w="582" w:type="dxa"/>
            <w:tcBorders>
              <w:top w:val="nil"/>
              <w:left w:val="nil"/>
              <w:bottom w:val="nil"/>
              <w:right w:val="nil"/>
            </w:tcBorders>
            <w:shd w:val="clear" w:color="auto" w:fill="auto"/>
            <w:noWrap/>
            <w:vAlign w:val="bottom"/>
            <w:hideMark/>
          </w:tcPr>
          <w:p w14:paraId="5BF47A70"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0.31</w:t>
            </w:r>
          </w:p>
        </w:tc>
        <w:tc>
          <w:tcPr>
            <w:tcW w:w="582" w:type="dxa"/>
            <w:tcBorders>
              <w:top w:val="nil"/>
              <w:left w:val="nil"/>
              <w:bottom w:val="nil"/>
              <w:right w:val="nil"/>
            </w:tcBorders>
            <w:shd w:val="clear" w:color="auto" w:fill="auto"/>
            <w:noWrap/>
            <w:vAlign w:val="bottom"/>
            <w:hideMark/>
          </w:tcPr>
          <w:p w14:paraId="4D0A0FB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0.32</w:t>
            </w:r>
          </w:p>
        </w:tc>
        <w:tc>
          <w:tcPr>
            <w:tcW w:w="582" w:type="dxa"/>
            <w:tcBorders>
              <w:top w:val="nil"/>
              <w:left w:val="nil"/>
              <w:bottom w:val="nil"/>
              <w:right w:val="nil"/>
            </w:tcBorders>
            <w:shd w:val="clear" w:color="auto" w:fill="auto"/>
            <w:noWrap/>
            <w:vAlign w:val="bottom"/>
            <w:hideMark/>
          </w:tcPr>
          <w:p w14:paraId="160A21C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0.29</w:t>
            </w:r>
          </w:p>
        </w:tc>
        <w:tc>
          <w:tcPr>
            <w:tcW w:w="582" w:type="dxa"/>
            <w:tcBorders>
              <w:top w:val="nil"/>
              <w:left w:val="nil"/>
              <w:bottom w:val="nil"/>
              <w:right w:val="nil"/>
            </w:tcBorders>
            <w:shd w:val="clear" w:color="auto" w:fill="auto"/>
            <w:noWrap/>
            <w:vAlign w:val="bottom"/>
            <w:hideMark/>
          </w:tcPr>
          <w:p w14:paraId="1DBE5C2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0.24</w:t>
            </w:r>
          </w:p>
        </w:tc>
        <w:tc>
          <w:tcPr>
            <w:tcW w:w="582" w:type="dxa"/>
            <w:tcBorders>
              <w:top w:val="nil"/>
              <w:left w:val="nil"/>
              <w:bottom w:val="nil"/>
              <w:right w:val="nil"/>
            </w:tcBorders>
            <w:shd w:val="clear" w:color="auto" w:fill="auto"/>
            <w:noWrap/>
            <w:vAlign w:val="bottom"/>
            <w:hideMark/>
          </w:tcPr>
          <w:p w14:paraId="2AE333D8"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0.16</w:t>
            </w:r>
          </w:p>
        </w:tc>
        <w:tc>
          <w:tcPr>
            <w:tcW w:w="582" w:type="dxa"/>
            <w:tcBorders>
              <w:top w:val="nil"/>
              <w:left w:val="nil"/>
              <w:bottom w:val="nil"/>
              <w:right w:val="single" w:sz="4" w:space="0" w:color="auto"/>
            </w:tcBorders>
            <w:shd w:val="clear" w:color="auto" w:fill="auto"/>
            <w:noWrap/>
            <w:vAlign w:val="bottom"/>
            <w:hideMark/>
          </w:tcPr>
          <w:p w14:paraId="6948A4D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22E9590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2.07</w:t>
            </w:r>
          </w:p>
        </w:tc>
        <w:tc>
          <w:tcPr>
            <w:tcW w:w="596" w:type="dxa"/>
            <w:tcBorders>
              <w:top w:val="nil"/>
              <w:left w:val="nil"/>
              <w:bottom w:val="nil"/>
              <w:right w:val="nil"/>
            </w:tcBorders>
            <w:shd w:val="clear" w:color="auto" w:fill="auto"/>
            <w:noWrap/>
            <w:vAlign w:val="bottom"/>
            <w:hideMark/>
          </w:tcPr>
          <w:p w14:paraId="6D09117F"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0.38</w:t>
            </w:r>
          </w:p>
        </w:tc>
      </w:tr>
      <w:tr w:rsidR="00984073" w:rsidRPr="0011612E" w14:paraId="1A6DA3D3" w14:textId="77777777" w:rsidTr="00F633B8">
        <w:trPr>
          <w:trHeight w:val="300"/>
        </w:trPr>
        <w:tc>
          <w:tcPr>
            <w:tcW w:w="956" w:type="dxa"/>
            <w:tcBorders>
              <w:top w:val="nil"/>
              <w:left w:val="nil"/>
              <w:bottom w:val="nil"/>
              <w:right w:val="single" w:sz="4" w:space="0" w:color="auto"/>
            </w:tcBorders>
            <w:shd w:val="clear" w:color="auto" w:fill="auto"/>
            <w:noWrap/>
            <w:vAlign w:val="bottom"/>
            <w:hideMark/>
          </w:tcPr>
          <w:p w14:paraId="2F484E04" w14:textId="77777777" w:rsidR="00984073" w:rsidRPr="0011612E" w:rsidRDefault="00984073" w:rsidP="00C22CD5">
            <w:pPr>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J</w:t>
            </w:r>
          </w:p>
        </w:tc>
        <w:tc>
          <w:tcPr>
            <w:tcW w:w="582" w:type="dxa"/>
            <w:tcBorders>
              <w:top w:val="nil"/>
              <w:left w:val="single" w:sz="4" w:space="0" w:color="auto"/>
              <w:bottom w:val="nil"/>
              <w:right w:val="nil"/>
            </w:tcBorders>
            <w:shd w:val="clear" w:color="auto" w:fill="auto"/>
            <w:noWrap/>
            <w:vAlign w:val="bottom"/>
            <w:hideMark/>
          </w:tcPr>
          <w:p w14:paraId="03E5B30B"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0.09</w:t>
            </w:r>
          </w:p>
        </w:tc>
        <w:tc>
          <w:tcPr>
            <w:tcW w:w="582" w:type="dxa"/>
            <w:tcBorders>
              <w:top w:val="nil"/>
              <w:left w:val="nil"/>
              <w:bottom w:val="nil"/>
              <w:right w:val="nil"/>
            </w:tcBorders>
            <w:shd w:val="clear" w:color="auto" w:fill="auto"/>
            <w:noWrap/>
            <w:vAlign w:val="bottom"/>
            <w:hideMark/>
          </w:tcPr>
          <w:p w14:paraId="1E125A55"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0.18</w:t>
            </w:r>
          </w:p>
        </w:tc>
        <w:tc>
          <w:tcPr>
            <w:tcW w:w="582" w:type="dxa"/>
            <w:tcBorders>
              <w:top w:val="nil"/>
              <w:left w:val="nil"/>
              <w:bottom w:val="nil"/>
              <w:right w:val="nil"/>
            </w:tcBorders>
            <w:shd w:val="clear" w:color="auto" w:fill="auto"/>
            <w:noWrap/>
            <w:vAlign w:val="bottom"/>
            <w:hideMark/>
          </w:tcPr>
          <w:p w14:paraId="41201E3C"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0.26</w:t>
            </w:r>
          </w:p>
        </w:tc>
        <w:tc>
          <w:tcPr>
            <w:tcW w:w="582" w:type="dxa"/>
            <w:tcBorders>
              <w:top w:val="nil"/>
              <w:left w:val="nil"/>
              <w:bottom w:val="nil"/>
              <w:right w:val="nil"/>
            </w:tcBorders>
            <w:shd w:val="clear" w:color="auto" w:fill="auto"/>
            <w:noWrap/>
            <w:vAlign w:val="bottom"/>
            <w:hideMark/>
          </w:tcPr>
          <w:p w14:paraId="0834B5D9"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0.34</w:t>
            </w:r>
          </w:p>
        </w:tc>
        <w:tc>
          <w:tcPr>
            <w:tcW w:w="582" w:type="dxa"/>
            <w:tcBorders>
              <w:top w:val="nil"/>
              <w:left w:val="nil"/>
              <w:bottom w:val="nil"/>
              <w:right w:val="nil"/>
            </w:tcBorders>
            <w:shd w:val="clear" w:color="auto" w:fill="auto"/>
            <w:noWrap/>
            <w:vAlign w:val="bottom"/>
            <w:hideMark/>
          </w:tcPr>
          <w:p w14:paraId="6930F55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0.36</w:t>
            </w:r>
          </w:p>
        </w:tc>
        <w:tc>
          <w:tcPr>
            <w:tcW w:w="582" w:type="dxa"/>
            <w:tcBorders>
              <w:top w:val="nil"/>
              <w:left w:val="nil"/>
              <w:bottom w:val="nil"/>
              <w:right w:val="nil"/>
            </w:tcBorders>
            <w:shd w:val="clear" w:color="auto" w:fill="auto"/>
            <w:noWrap/>
            <w:vAlign w:val="bottom"/>
            <w:hideMark/>
          </w:tcPr>
          <w:p w14:paraId="1640C43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0.38</w:t>
            </w:r>
          </w:p>
        </w:tc>
        <w:tc>
          <w:tcPr>
            <w:tcW w:w="582" w:type="dxa"/>
            <w:tcBorders>
              <w:top w:val="nil"/>
              <w:left w:val="nil"/>
              <w:bottom w:val="nil"/>
              <w:right w:val="nil"/>
            </w:tcBorders>
            <w:shd w:val="clear" w:color="auto" w:fill="auto"/>
            <w:noWrap/>
            <w:vAlign w:val="bottom"/>
            <w:hideMark/>
          </w:tcPr>
          <w:p w14:paraId="4DB4B2B2"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0.34</w:t>
            </w:r>
          </w:p>
        </w:tc>
        <w:tc>
          <w:tcPr>
            <w:tcW w:w="582" w:type="dxa"/>
            <w:tcBorders>
              <w:top w:val="nil"/>
              <w:left w:val="nil"/>
              <w:bottom w:val="nil"/>
              <w:right w:val="nil"/>
            </w:tcBorders>
            <w:shd w:val="clear" w:color="auto" w:fill="auto"/>
            <w:noWrap/>
            <w:vAlign w:val="bottom"/>
            <w:hideMark/>
          </w:tcPr>
          <w:p w14:paraId="2838376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0.29</w:t>
            </w:r>
          </w:p>
        </w:tc>
        <w:tc>
          <w:tcPr>
            <w:tcW w:w="582" w:type="dxa"/>
            <w:tcBorders>
              <w:top w:val="nil"/>
              <w:left w:val="nil"/>
              <w:bottom w:val="nil"/>
              <w:right w:val="nil"/>
            </w:tcBorders>
            <w:shd w:val="clear" w:color="auto" w:fill="auto"/>
            <w:noWrap/>
            <w:vAlign w:val="bottom"/>
            <w:hideMark/>
          </w:tcPr>
          <w:p w14:paraId="0FB20AA4"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0.20</w:t>
            </w:r>
          </w:p>
        </w:tc>
        <w:tc>
          <w:tcPr>
            <w:tcW w:w="582" w:type="dxa"/>
            <w:tcBorders>
              <w:top w:val="nil"/>
              <w:left w:val="nil"/>
              <w:bottom w:val="nil"/>
              <w:right w:val="single" w:sz="4" w:space="0" w:color="auto"/>
            </w:tcBorders>
            <w:shd w:val="clear" w:color="auto" w:fill="auto"/>
            <w:noWrap/>
            <w:vAlign w:val="bottom"/>
            <w:hideMark/>
          </w:tcPr>
          <w:p w14:paraId="3C4EED1A"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0.00</w:t>
            </w:r>
          </w:p>
        </w:tc>
        <w:tc>
          <w:tcPr>
            <w:tcW w:w="816" w:type="dxa"/>
            <w:tcBorders>
              <w:top w:val="nil"/>
              <w:left w:val="single" w:sz="4" w:space="0" w:color="auto"/>
              <w:bottom w:val="nil"/>
              <w:right w:val="nil"/>
            </w:tcBorders>
            <w:shd w:val="clear" w:color="auto" w:fill="auto"/>
            <w:noWrap/>
            <w:vAlign w:val="bottom"/>
            <w:hideMark/>
          </w:tcPr>
          <w:p w14:paraId="3AEAC8C6" w14:textId="77777777" w:rsidR="00984073" w:rsidRPr="0011612E" w:rsidRDefault="00984073" w:rsidP="00C22CD5">
            <w:pPr>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2.44</w:t>
            </w:r>
          </w:p>
        </w:tc>
        <w:tc>
          <w:tcPr>
            <w:tcW w:w="596" w:type="dxa"/>
            <w:tcBorders>
              <w:top w:val="nil"/>
              <w:left w:val="nil"/>
              <w:bottom w:val="nil"/>
              <w:right w:val="nil"/>
            </w:tcBorders>
            <w:shd w:val="clear" w:color="auto" w:fill="auto"/>
            <w:noWrap/>
            <w:vAlign w:val="bottom"/>
            <w:hideMark/>
          </w:tcPr>
          <w:p w14:paraId="5C2534F6" w14:textId="77777777" w:rsidR="00984073" w:rsidRPr="0011612E" w:rsidRDefault="00984073" w:rsidP="00C22CD5">
            <w:pPr>
              <w:keepNext/>
              <w:jc w:val="right"/>
              <w:rPr>
                <w:rFonts w:ascii="Calibri" w:eastAsia="Times New Roman" w:hAnsi="Calibri" w:cs="Times New Roman"/>
                <w:color w:val="000000"/>
                <w:sz w:val="20"/>
                <w:szCs w:val="20"/>
              </w:rPr>
            </w:pPr>
            <w:r w:rsidRPr="0011612E">
              <w:rPr>
                <w:rFonts w:ascii="Calibri" w:eastAsia="Times New Roman" w:hAnsi="Calibri" w:cs="Times New Roman"/>
                <w:color w:val="000000"/>
                <w:sz w:val="20"/>
                <w:szCs w:val="20"/>
              </w:rPr>
              <w:t>0.44</w:t>
            </w:r>
          </w:p>
        </w:tc>
      </w:tr>
    </w:tbl>
    <w:p w14:paraId="7B32A30D" w14:textId="2CB5B3CC" w:rsidR="00984073" w:rsidRPr="00C22CD5" w:rsidRDefault="00C22CD5" w:rsidP="00C22CD5">
      <w:pPr>
        <w:pStyle w:val="Caption"/>
        <w:rPr>
          <w:b w:val="0"/>
          <w:color w:val="auto"/>
        </w:rPr>
      </w:pPr>
      <w:r w:rsidRPr="00C22CD5">
        <w:rPr>
          <w:b w:val="0"/>
          <w:color w:val="auto"/>
        </w:rPr>
        <w:t xml:space="preserve">Table </w:t>
      </w:r>
      <w:r w:rsidRPr="00C22CD5">
        <w:rPr>
          <w:b w:val="0"/>
          <w:color w:val="auto"/>
        </w:rPr>
        <w:fldChar w:fldCharType="begin"/>
      </w:r>
      <w:r w:rsidRPr="00C22CD5">
        <w:rPr>
          <w:b w:val="0"/>
          <w:color w:val="auto"/>
        </w:rPr>
        <w:instrText xml:space="preserve"> SEQ Table \* ARABIC </w:instrText>
      </w:r>
      <w:r w:rsidRPr="00C22CD5">
        <w:rPr>
          <w:b w:val="0"/>
          <w:color w:val="auto"/>
        </w:rPr>
        <w:fldChar w:fldCharType="separate"/>
      </w:r>
      <w:r w:rsidRPr="00C22CD5">
        <w:rPr>
          <w:b w:val="0"/>
          <w:noProof/>
          <w:color w:val="auto"/>
        </w:rPr>
        <w:t>4</w:t>
      </w:r>
      <w:r w:rsidRPr="00C22CD5">
        <w:rPr>
          <w:b w:val="0"/>
          <w:color w:val="auto"/>
        </w:rPr>
        <w:fldChar w:fldCharType="end"/>
      </w:r>
      <w:r w:rsidRPr="00C22CD5">
        <w:rPr>
          <w:b w:val="0"/>
          <w:color w:val="auto"/>
        </w:rPr>
        <w:t>: Value of area A at each decile, providing the total A area for each economy and therefore each economy's Gini index.</w:t>
      </w:r>
    </w:p>
    <w:p w14:paraId="60A61BE9" w14:textId="77777777" w:rsidR="00984073" w:rsidRDefault="00984073" w:rsidP="00984073"/>
    <w:p w14:paraId="5F89B2F4" w14:textId="77777777" w:rsidR="00984073" w:rsidRDefault="00984073" w:rsidP="00984073"/>
    <w:p w14:paraId="40A31767" w14:textId="77777777" w:rsidR="00984073" w:rsidRDefault="00984073" w:rsidP="00984073"/>
    <w:p w14:paraId="4BC59F50" w14:textId="77777777" w:rsidR="00984073" w:rsidRDefault="00984073" w:rsidP="00984073"/>
    <w:p w14:paraId="777D922E" w14:textId="77777777" w:rsidR="00984073" w:rsidRDefault="00984073" w:rsidP="00984073"/>
    <w:p w14:paraId="275DF1EA" w14:textId="77777777" w:rsidR="00984073" w:rsidRDefault="00984073" w:rsidP="00984073">
      <w:pPr>
        <w:keepNext/>
      </w:pPr>
      <w:r>
        <w:rPr>
          <w:noProof/>
        </w:rPr>
        <w:lastRenderedPageBreak/>
        <w:drawing>
          <wp:inline distT="0" distB="0" distL="0" distR="0" wp14:anchorId="2EB7FBFC" wp14:editId="634ABFA5">
            <wp:extent cx="5486400" cy="3047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nz_curves.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047365"/>
                    </a:xfrm>
                    <a:prstGeom prst="rect">
                      <a:avLst/>
                    </a:prstGeom>
                  </pic:spPr>
                </pic:pic>
              </a:graphicData>
            </a:graphic>
          </wp:inline>
        </w:drawing>
      </w:r>
    </w:p>
    <w:p w14:paraId="5A165395" w14:textId="33213922" w:rsidR="00984073" w:rsidRPr="006C0282" w:rsidRDefault="00984073" w:rsidP="00984073">
      <w:pPr>
        <w:pStyle w:val="Caption"/>
        <w:rPr>
          <w:b w:val="0"/>
          <w:color w:val="auto"/>
        </w:rPr>
      </w:pPr>
      <w:r w:rsidRPr="006C0282">
        <w:rPr>
          <w:b w:val="0"/>
          <w:color w:val="auto"/>
        </w:rPr>
        <w:t xml:space="preserve">Figure </w:t>
      </w:r>
      <w:r w:rsidRPr="006C0282">
        <w:rPr>
          <w:b w:val="0"/>
          <w:color w:val="auto"/>
        </w:rPr>
        <w:fldChar w:fldCharType="begin"/>
      </w:r>
      <w:r w:rsidRPr="006C0282">
        <w:rPr>
          <w:b w:val="0"/>
          <w:color w:val="auto"/>
        </w:rPr>
        <w:instrText xml:space="preserve"> SEQ Figure \* ARABIC </w:instrText>
      </w:r>
      <w:r w:rsidRPr="006C0282">
        <w:rPr>
          <w:b w:val="0"/>
          <w:color w:val="auto"/>
        </w:rPr>
        <w:fldChar w:fldCharType="separate"/>
      </w:r>
      <w:r>
        <w:rPr>
          <w:b w:val="0"/>
          <w:noProof/>
          <w:color w:val="auto"/>
        </w:rPr>
        <w:t>2</w:t>
      </w:r>
      <w:r w:rsidRPr="006C0282">
        <w:rPr>
          <w:b w:val="0"/>
          <w:color w:val="auto"/>
        </w:rPr>
        <w:fldChar w:fldCharType="end"/>
      </w:r>
      <w:r w:rsidRPr="006C0282">
        <w:rPr>
          <w:b w:val="0"/>
          <w:color w:val="auto"/>
        </w:rPr>
        <w:t>: Lorenz curves for artificial countries with the line of equality shown</w:t>
      </w:r>
      <w:r w:rsidR="002153F2">
        <w:rPr>
          <w:b w:val="0"/>
          <w:color w:val="auto"/>
        </w:rPr>
        <w:t xml:space="preserve"> diagonally. This is a draft figure. Cumulative population share is along the horizontal axis. Cumulative income share is along the vertical axis. </w:t>
      </w:r>
    </w:p>
    <w:p w14:paraId="25915019" w14:textId="77777777" w:rsidR="00984073" w:rsidRDefault="00984073" w:rsidP="00984073"/>
    <w:p w14:paraId="52BAA82C" w14:textId="77777777" w:rsidR="00984073" w:rsidRDefault="00984073" w:rsidP="00984073"/>
    <w:tbl>
      <w:tblPr>
        <w:tblW w:w="6916" w:type="dxa"/>
        <w:jc w:val="center"/>
        <w:tblLook w:val="04A0" w:firstRow="1" w:lastRow="0" w:firstColumn="1" w:lastColumn="0" w:noHBand="0" w:noVBand="1"/>
      </w:tblPr>
      <w:tblGrid>
        <w:gridCol w:w="956"/>
        <w:gridCol w:w="596"/>
        <w:gridCol w:w="596"/>
        <w:gridCol w:w="596"/>
        <w:gridCol w:w="596"/>
        <w:gridCol w:w="596"/>
        <w:gridCol w:w="596"/>
        <w:gridCol w:w="596"/>
        <w:gridCol w:w="596"/>
        <w:gridCol w:w="596"/>
        <w:gridCol w:w="596"/>
      </w:tblGrid>
      <w:tr w:rsidR="00984073" w:rsidRPr="00FB30BF" w14:paraId="68A4626B" w14:textId="77777777" w:rsidTr="00C22CD5">
        <w:trPr>
          <w:trHeight w:val="300"/>
          <w:jc w:val="center"/>
        </w:trPr>
        <w:tc>
          <w:tcPr>
            <w:tcW w:w="956" w:type="dxa"/>
            <w:tcBorders>
              <w:top w:val="nil"/>
              <w:left w:val="nil"/>
              <w:right w:val="single" w:sz="4" w:space="0" w:color="auto"/>
            </w:tcBorders>
            <w:shd w:val="clear" w:color="auto" w:fill="auto"/>
            <w:noWrap/>
            <w:vAlign w:val="bottom"/>
            <w:hideMark/>
          </w:tcPr>
          <w:p w14:paraId="5DD278B3"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Country</w:t>
            </w:r>
          </w:p>
        </w:tc>
        <w:tc>
          <w:tcPr>
            <w:tcW w:w="596" w:type="dxa"/>
            <w:tcBorders>
              <w:top w:val="nil"/>
              <w:left w:val="single" w:sz="4" w:space="0" w:color="auto"/>
              <w:bottom w:val="single" w:sz="4" w:space="0" w:color="auto"/>
              <w:right w:val="nil"/>
            </w:tcBorders>
            <w:shd w:val="clear" w:color="auto" w:fill="auto"/>
            <w:noWrap/>
            <w:vAlign w:val="bottom"/>
            <w:hideMark/>
          </w:tcPr>
          <w:p w14:paraId="6E6D4743"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A</w:t>
            </w:r>
          </w:p>
        </w:tc>
        <w:tc>
          <w:tcPr>
            <w:tcW w:w="596" w:type="dxa"/>
            <w:tcBorders>
              <w:top w:val="nil"/>
              <w:left w:val="nil"/>
              <w:bottom w:val="single" w:sz="4" w:space="0" w:color="auto"/>
              <w:right w:val="nil"/>
            </w:tcBorders>
            <w:shd w:val="clear" w:color="auto" w:fill="auto"/>
            <w:noWrap/>
            <w:vAlign w:val="bottom"/>
            <w:hideMark/>
          </w:tcPr>
          <w:p w14:paraId="7153C62E"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B</w:t>
            </w:r>
          </w:p>
        </w:tc>
        <w:tc>
          <w:tcPr>
            <w:tcW w:w="596" w:type="dxa"/>
            <w:tcBorders>
              <w:top w:val="nil"/>
              <w:left w:val="nil"/>
              <w:bottom w:val="single" w:sz="4" w:space="0" w:color="auto"/>
              <w:right w:val="nil"/>
            </w:tcBorders>
            <w:shd w:val="clear" w:color="auto" w:fill="auto"/>
            <w:noWrap/>
            <w:vAlign w:val="bottom"/>
            <w:hideMark/>
          </w:tcPr>
          <w:p w14:paraId="35E6C1D5"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C</w:t>
            </w:r>
          </w:p>
        </w:tc>
        <w:tc>
          <w:tcPr>
            <w:tcW w:w="596" w:type="dxa"/>
            <w:tcBorders>
              <w:top w:val="nil"/>
              <w:left w:val="nil"/>
              <w:bottom w:val="single" w:sz="4" w:space="0" w:color="auto"/>
              <w:right w:val="nil"/>
            </w:tcBorders>
            <w:shd w:val="clear" w:color="auto" w:fill="auto"/>
            <w:noWrap/>
            <w:vAlign w:val="bottom"/>
            <w:hideMark/>
          </w:tcPr>
          <w:p w14:paraId="70A6CA3D"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D</w:t>
            </w:r>
          </w:p>
        </w:tc>
        <w:tc>
          <w:tcPr>
            <w:tcW w:w="596" w:type="dxa"/>
            <w:tcBorders>
              <w:top w:val="nil"/>
              <w:left w:val="nil"/>
              <w:bottom w:val="single" w:sz="4" w:space="0" w:color="auto"/>
              <w:right w:val="nil"/>
            </w:tcBorders>
            <w:shd w:val="clear" w:color="auto" w:fill="auto"/>
            <w:noWrap/>
            <w:vAlign w:val="bottom"/>
            <w:hideMark/>
          </w:tcPr>
          <w:p w14:paraId="49A97966"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E</w:t>
            </w:r>
          </w:p>
        </w:tc>
        <w:tc>
          <w:tcPr>
            <w:tcW w:w="596" w:type="dxa"/>
            <w:tcBorders>
              <w:top w:val="nil"/>
              <w:left w:val="nil"/>
              <w:bottom w:val="single" w:sz="4" w:space="0" w:color="auto"/>
              <w:right w:val="nil"/>
            </w:tcBorders>
            <w:shd w:val="clear" w:color="auto" w:fill="auto"/>
            <w:noWrap/>
            <w:vAlign w:val="bottom"/>
            <w:hideMark/>
          </w:tcPr>
          <w:p w14:paraId="05A325FC"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F</w:t>
            </w:r>
          </w:p>
        </w:tc>
        <w:tc>
          <w:tcPr>
            <w:tcW w:w="596" w:type="dxa"/>
            <w:tcBorders>
              <w:top w:val="nil"/>
              <w:left w:val="nil"/>
              <w:bottom w:val="single" w:sz="4" w:space="0" w:color="auto"/>
              <w:right w:val="nil"/>
            </w:tcBorders>
            <w:shd w:val="clear" w:color="auto" w:fill="auto"/>
            <w:noWrap/>
            <w:vAlign w:val="bottom"/>
            <w:hideMark/>
          </w:tcPr>
          <w:p w14:paraId="5EF4E58C"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G</w:t>
            </w:r>
          </w:p>
        </w:tc>
        <w:tc>
          <w:tcPr>
            <w:tcW w:w="596" w:type="dxa"/>
            <w:tcBorders>
              <w:top w:val="nil"/>
              <w:left w:val="nil"/>
              <w:bottom w:val="single" w:sz="4" w:space="0" w:color="auto"/>
              <w:right w:val="nil"/>
            </w:tcBorders>
            <w:shd w:val="clear" w:color="auto" w:fill="auto"/>
            <w:noWrap/>
            <w:vAlign w:val="bottom"/>
            <w:hideMark/>
          </w:tcPr>
          <w:p w14:paraId="7417241E"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H</w:t>
            </w:r>
          </w:p>
        </w:tc>
        <w:tc>
          <w:tcPr>
            <w:tcW w:w="596" w:type="dxa"/>
            <w:tcBorders>
              <w:top w:val="nil"/>
              <w:left w:val="nil"/>
              <w:bottom w:val="single" w:sz="4" w:space="0" w:color="auto"/>
              <w:right w:val="nil"/>
            </w:tcBorders>
            <w:shd w:val="clear" w:color="auto" w:fill="auto"/>
            <w:noWrap/>
            <w:vAlign w:val="bottom"/>
            <w:hideMark/>
          </w:tcPr>
          <w:p w14:paraId="36D18132"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I</w:t>
            </w:r>
          </w:p>
        </w:tc>
        <w:tc>
          <w:tcPr>
            <w:tcW w:w="596" w:type="dxa"/>
            <w:tcBorders>
              <w:top w:val="nil"/>
              <w:left w:val="nil"/>
              <w:bottom w:val="single" w:sz="4" w:space="0" w:color="auto"/>
              <w:right w:val="nil"/>
            </w:tcBorders>
            <w:shd w:val="clear" w:color="auto" w:fill="auto"/>
            <w:noWrap/>
            <w:vAlign w:val="bottom"/>
            <w:hideMark/>
          </w:tcPr>
          <w:p w14:paraId="1E561D07"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J</w:t>
            </w:r>
          </w:p>
        </w:tc>
      </w:tr>
      <w:tr w:rsidR="00984073" w:rsidRPr="00FB30BF" w14:paraId="1B6A90AB" w14:textId="77777777" w:rsidTr="00C22CD5">
        <w:trPr>
          <w:trHeight w:val="300"/>
          <w:jc w:val="center"/>
        </w:trPr>
        <w:tc>
          <w:tcPr>
            <w:tcW w:w="956" w:type="dxa"/>
            <w:tcBorders>
              <w:left w:val="nil"/>
              <w:bottom w:val="nil"/>
              <w:right w:val="single" w:sz="4" w:space="0" w:color="auto"/>
            </w:tcBorders>
            <w:shd w:val="clear" w:color="auto" w:fill="auto"/>
            <w:noWrap/>
            <w:vAlign w:val="bottom"/>
            <w:hideMark/>
          </w:tcPr>
          <w:p w14:paraId="05608AA7"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Gini</w:t>
            </w:r>
          </w:p>
        </w:tc>
        <w:tc>
          <w:tcPr>
            <w:tcW w:w="596" w:type="dxa"/>
            <w:tcBorders>
              <w:top w:val="single" w:sz="4" w:space="0" w:color="auto"/>
              <w:left w:val="single" w:sz="4" w:space="0" w:color="auto"/>
              <w:bottom w:val="nil"/>
              <w:right w:val="nil"/>
            </w:tcBorders>
            <w:shd w:val="clear" w:color="auto" w:fill="auto"/>
            <w:noWrap/>
            <w:vAlign w:val="bottom"/>
            <w:hideMark/>
          </w:tcPr>
          <w:p w14:paraId="63B3CBBC"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0.37</w:t>
            </w:r>
          </w:p>
        </w:tc>
        <w:tc>
          <w:tcPr>
            <w:tcW w:w="596" w:type="dxa"/>
            <w:tcBorders>
              <w:top w:val="single" w:sz="4" w:space="0" w:color="auto"/>
              <w:left w:val="nil"/>
              <w:bottom w:val="nil"/>
              <w:right w:val="nil"/>
            </w:tcBorders>
            <w:shd w:val="clear" w:color="auto" w:fill="auto"/>
            <w:noWrap/>
            <w:vAlign w:val="bottom"/>
            <w:hideMark/>
          </w:tcPr>
          <w:p w14:paraId="039BC571"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0.26</w:t>
            </w:r>
          </w:p>
        </w:tc>
        <w:tc>
          <w:tcPr>
            <w:tcW w:w="596" w:type="dxa"/>
            <w:tcBorders>
              <w:top w:val="single" w:sz="4" w:space="0" w:color="auto"/>
              <w:left w:val="nil"/>
              <w:bottom w:val="nil"/>
              <w:right w:val="nil"/>
            </w:tcBorders>
            <w:shd w:val="clear" w:color="auto" w:fill="auto"/>
            <w:noWrap/>
            <w:vAlign w:val="bottom"/>
            <w:hideMark/>
          </w:tcPr>
          <w:p w14:paraId="09F220DF"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0.51</w:t>
            </w:r>
          </w:p>
        </w:tc>
        <w:tc>
          <w:tcPr>
            <w:tcW w:w="596" w:type="dxa"/>
            <w:tcBorders>
              <w:top w:val="single" w:sz="4" w:space="0" w:color="auto"/>
              <w:left w:val="nil"/>
              <w:bottom w:val="nil"/>
              <w:right w:val="nil"/>
            </w:tcBorders>
            <w:shd w:val="clear" w:color="auto" w:fill="auto"/>
            <w:noWrap/>
            <w:vAlign w:val="bottom"/>
            <w:hideMark/>
          </w:tcPr>
          <w:p w14:paraId="28E3D3EB"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0.34</w:t>
            </w:r>
          </w:p>
        </w:tc>
        <w:tc>
          <w:tcPr>
            <w:tcW w:w="596" w:type="dxa"/>
            <w:tcBorders>
              <w:top w:val="single" w:sz="4" w:space="0" w:color="auto"/>
              <w:left w:val="nil"/>
              <w:bottom w:val="nil"/>
              <w:right w:val="nil"/>
            </w:tcBorders>
            <w:shd w:val="clear" w:color="auto" w:fill="auto"/>
            <w:noWrap/>
            <w:vAlign w:val="bottom"/>
            <w:hideMark/>
          </w:tcPr>
          <w:p w14:paraId="4745AE18"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0.44</w:t>
            </w:r>
          </w:p>
        </w:tc>
        <w:tc>
          <w:tcPr>
            <w:tcW w:w="596" w:type="dxa"/>
            <w:tcBorders>
              <w:top w:val="single" w:sz="4" w:space="0" w:color="auto"/>
              <w:left w:val="nil"/>
              <w:bottom w:val="nil"/>
              <w:right w:val="nil"/>
            </w:tcBorders>
            <w:shd w:val="clear" w:color="auto" w:fill="auto"/>
            <w:noWrap/>
            <w:vAlign w:val="bottom"/>
            <w:hideMark/>
          </w:tcPr>
          <w:p w14:paraId="5734B2BF"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0.41</w:t>
            </w:r>
          </w:p>
        </w:tc>
        <w:tc>
          <w:tcPr>
            <w:tcW w:w="596" w:type="dxa"/>
            <w:tcBorders>
              <w:top w:val="single" w:sz="4" w:space="0" w:color="auto"/>
              <w:left w:val="nil"/>
              <w:bottom w:val="nil"/>
              <w:right w:val="nil"/>
            </w:tcBorders>
            <w:shd w:val="clear" w:color="auto" w:fill="auto"/>
            <w:noWrap/>
            <w:vAlign w:val="bottom"/>
            <w:hideMark/>
          </w:tcPr>
          <w:p w14:paraId="1BBA3609"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0.47</w:t>
            </w:r>
          </w:p>
        </w:tc>
        <w:tc>
          <w:tcPr>
            <w:tcW w:w="596" w:type="dxa"/>
            <w:tcBorders>
              <w:top w:val="single" w:sz="4" w:space="0" w:color="auto"/>
              <w:left w:val="nil"/>
              <w:bottom w:val="nil"/>
              <w:right w:val="nil"/>
            </w:tcBorders>
            <w:shd w:val="clear" w:color="auto" w:fill="auto"/>
            <w:noWrap/>
            <w:vAlign w:val="bottom"/>
            <w:hideMark/>
          </w:tcPr>
          <w:p w14:paraId="51B7B948"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0.33</w:t>
            </w:r>
          </w:p>
        </w:tc>
        <w:tc>
          <w:tcPr>
            <w:tcW w:w="596" w:type="dxa"/>
            <w:tcBorders>
              <w:top w:val="single" w:sz="4" w:space="0" w:color="auto"/>
              <w:left w:val="nil"/>
              <w:bottom w:val="nil"/>
              <w:right w:val="nil"/>
            </w:tcBorders>
            <w:shd w:val="clear" w:color="auto" w:fill="auto"/>
            <w:noWrap/>
            <w:vAlign w:val="bottom"/>
            <w:hideMark/>
          </w:tcPr>
          <w:p w14:paraId="104BD9F9"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0.38</w:t>
            </w:r>
          </w:p>
        </w:tc>
        <w:tc>
          <w:tcPr>
            <w:tcW w:w="596" w:type="dxa"/>
            <w:tcBorders>
              <w:top w:val="single" w:sz="4" w:space="0" w:color="auto"/>
              <w:left w:val="nil"/>
              <w:bottom w:val="nil"/>
              <w:right w:val="nil"/>
            </w:tcBorders>
            <w:shd w:val="clear" w:color="auto" w:fill="auto"/>
            <w:noWrap/>
            <w:vAlign w:val="bottom"/>
            <w:hideMark/>
          </w:tcPr>
          <w:p w14:paraId="48F5DEA1"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0.44</w:t>
            </w:r>
          </w:p>
        </w:tc>
      </w:tr>
      <w:tr w:rsidR="00984073" w:rsidRPr="00FB30BF" w14:paraId="33C8CF5A" w14:textId="77777777" w:rsidTr="00C22CD5">
        <w:trPr>
          <w:trHeight w:val="300"/>
          <w:jc w:val="center"/>
        </w:trPr>
        <w:tc>
          <w:tcPr>
            <w:tcW w:w="956" w:type="dxa"/>
            <w:tcBorders>
              <w:top w:val="nil"/>
              <w:left w:val="nil"/>
              <w:bottom w:val="nil"/>
              <w:right w:val="single" w:sz="4" w:space="0" w:color="auto"/>
            </w:tcBorders>
            <w:shd w:val="clear" w:color="auto" w:fill="auto"/>
            <w:noWrap/>
            <w:vAlign w:val="bottom"/>
            <w:hideMark/>
          </w:tcPr>
          <w:p w14:paraId="623CC337" w14:textId="77777777" w:rsidR="00984073" w:rsidRPr="00FB30BF" w:rsidRDefault="00984073" w:rsidP="00C22CD5">
            <w:pPr>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Palma</w:t>
            </w:r>
          </w:p>
        </w:tc>
        <w:tc>
          <w:tcPr>
            <w:tcW w:w="596" w:type="dxa"/>
            <w:tcBorders>
              <w:top w:val="nil"/>
              <w:left w:val="single" w:sz="4" w:space="0" w:color="auto"/>
              <w:bottom w:val="nil"/>
              <w:right w:val="nil"/>
            </w:tcBorders>
            <w:shd w:val="clear" w:color="auto" w:fill="auto"/>
            <w:noWrap/>
            <w:vAlign w:val="bottom"/>
            <w:hideMark/>
          </w:tcPr>
          <w:p w14:paraId="5019FFAD"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2.00</w:t>
            </w:r>
          </w:p>
        </w:tc>
        <w:tc>
          <w:tcPr>
            <w:tcW w:w="596" w:type="dxa"/>
            <w:tcBorders>
              <w:top w:val="nil"/>
              <w:left w:val="nil"/>
              <w:bottom w:val="nil"/>
              <w:right w:val="nil"/>
            </w:tcBorders>
            <w:shd w:val="clear" w:color="auto" w:fill="auto"/>
            <w:noWrap/>
            <w:vAlign w:val="bottom"/>
            <w:hideMark/>
          </w:tcPr>
          <w:p w14:paraId="107282DE"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1.00</w:t>
            </w:r>
          </w:p>
        </w:tc>
        <w:tc>
          <w:tcPr>
            <w:tcW w:w="596" w:type="dxa"/>
            <w:tcBorders>
              <w:top w:val="nil"/>
              <w:left w:val="nil"/>
              <w:bottom w:val="nil"/>
              <w:right w:val="nil"/>
            </w:tcBorders>
            <w:shd w:val="clear" w:color="auto" w:fill="auto"/>
            <w:noWrap/>
            <w:vAlign w:val="bottom"/>
            <w:hideMark/>
          </w:tcPr>
          <w:p w14:paraId="14132B29"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4.50</w:t>
            </w:r>
          </w:p>
        </w:tc>
        <w:tc>
          <w:tcPr>
            <w:tcW w:w="596" w:type="dxa"/>
            <w:tcBorders>
              <w:top w:val="nil"/>
              <w:left w:val="nil"/>
              <w:bottom w:val="nil"/>
              <w:right w:val="nil"/>
            </w:tcBorders>
            <w:shd w:val="clear" w:color="auto" w:fill="auto"/>
            <w:noWrap/>
            <w:vAlign w:val="bottom"/>
            <w:hideMark/>
          </w:tcPr>
          <w:p w14:paraId="3E6B7353"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1.50</w:t>
            </w:r>
          </w:p>
        </w:tc>
        <w:tc>
          <w:tcPr>
            <w:tcW w:w="596" w:type="dxa"/>
            <w:tcBorders>
              <w:top w:val="nil"/>
              <w:left w:val="nil"/>
              <w:bottom w:val="nil"/>
              <w:right w:val="nil"/>
            </w:tcBorders>
            <w:shd w:val="clear" w:color="auto" w:fill="auto"/>
            <w:noWrap/>
            <w:vAlign w:val="bottom"/>
            <w:hideMark/>
          </w:tcPr>
          <w:p w14:paraId="3B34102B"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5.00</w:t>
            </w:r>
          </w:p>
        </w:tc>
        <w:tc>
          <w:tcPr>
            <w:tcW w:w="596" w:type="dxa"/>
            <w:tcBorders>
              <w:top w:val="nil"/>
              <w:left w:val="nil"/>
              <w:bottom w:val="nil"/>
              <w:right w:val="nil"/>
            </w:tcBorders>
            <w:shd w:val="clear" w:color="auto" w:fill="auto"/>
            <w:noWrap/>
            <w:vAlign w:val="bottom"/>
            <w:hideMark/>
          </w:tcPr>
          <w:p w14:paraId="575D135E"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2.50</w:t>
            </w:r>
          </w:p>
        </w:tc>
        <w:tc>
          <w:tcPr>
            <w:tcW w:w="596" w:type="dxa"/>
            <w:tcBorders>
              <w:top w:val="nil"/>
              <w:left w:val="nil"/>
              <w:bottom w:val="nil"/>
              <w:right w:val="nil"/>
            </w:tcBorders>
            <w:shd w:val="clear" w:color="auto" w:fill="auto"/>
            <w:noWrap/>
            <w:vAlign w:val="bottom"/>
            <w:hideMark/>
          </w:tcPr>
          <w:p w14:paraId="28BCDD82"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3.33</w:t>
            </w:r>
          </w:p>
        </w:tc>
        <w:tc>
          <w:tcPr>
            <w:tcW w:w="596" w:type="dxa"/>
            <w:tcBorders>
              <w:top w:val="nil"/>
              <w:left w:val="nil"/>
              <w:bottom w:val="nil"/>
              <w:right w:val="nil"/>
            </w:tcBorders>
            <w:shd w:val="clear" w:color="auto" w:fill="auto"/>
            <w:noWrap/>
            <w:vAlign w:val="bottom"/>
            <w:hideMark/>
          </w:tcPr>
          <w:p w14:paraId="708A8E54"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1.50</w:t>
            </w:r>
          </w:p>
        </w:tc>
        <w:tc>
          <w:tcPr>
            <w:tcW w:w="596" w:type="dxa"/>
            <w:tcBorders>
              <w:top w:val="nil"/>
              <w:left w:val="nil"/>
              <w:bottom w:val="nil"/>
              <w:right w:val="nil"/>
            </w:tcBorders>
            <w:shd w:val="clear" w:color="auto" w:fill="auto"/>
            <w:noWrap/>
            <w:vAlign w:val="bottom"/>
            <w:hideMark/>
          </w:tcPr>
          <w:p w14:paraId="0E831F02"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2.17</w:t>
            </w:r>
          </w:p>
        </w:tc>
        <w:tc>
          <w:tcPr>
            <w:tcW w:w="596" w:type="dxa"/>
            <w:tcBorders>
              <w:top w:val="nil"/>
              <w:left w:val="nil"/>
              <w:bottom w:val="nil"/>
              <w:right w:val="nil"/>
            </w:tcBorders>
            <w:shd w:val="clear" w:color="auto" w:fill="auto"/>
            <w:noWrap/>
            <w:vAlign w:val="bottom"/>
            <w:hideMark/>
          </w:tcPr>
          <w:p w14:paraId="5749582E" w14:textId="77777777" w:rsidR="00984073" w:rsidRPr="00FB30BF" w:rsidRDefault="00984073" w:rsidP="00C22CD5">
            <w:pPr>
              <w:jc w:val="right"/>
              <w:rPr>
                <w:rFonts w:ascii="Calibri" w:eastAsia="Times New Roman" w:hAnsi="Calibri" w:cs="Times New Roman"/>
                <w:color w:val="000000"/>
                <w:sz w:val="20"/>
                <w:szCs w:val="20"/>
              </w:rPr>
            </w:pPr>
            <w:r w:rsidRPr="00FB30BF">
              <w:rPr>
                <w:rFonts w:ascii="Calibri" w:eastAsia="Times New Roman" w:hAnsi="Calibri" w:cs="Times New Roman"/>
                <w:color w:val="000000"/>
                <w:sz w:val="20"/>
                <w:szCs w:val="20"/>
              </w:rPr>
              <w:t>5.00</w:t>
            </w:r>
          </w:p>
        </w:tc>
      </w:tr>
    </w:tbl>
    <w:p w14:paraId="39C78617" w14:textId="77777777" w:rsidR="00984073" w:rsidRPr="00FB30BF" w:rsidRDefault="00984073" w:rsidP="00984073">
      <w:pPr>
        <w:pStyle w:val="Caption"/>
        <w:jc w:val="center"/>
        <w:rPr>
          <w:b w:val="0"/>
          <w:color w:val="auto"/>
        </w:rPr>
      </w:pPr>
      <w:r w:rsidRPr="00FB30BF">
        <w:rPr>
          <w:b w:val="0"/>
          <w:color w:val="auto"/>
        </w:rPr>
        <w:t xml:space="preserve">Table </w:t>
      </w:r>
      <w:r w:rsidRPr="00FB30BF">
        <w:rPr>
          <w:b w:val="0"/>
          <w:color w:val="auto"/>
        </w:rPr>
        <w:fldChar w:fldCharType="begin"/>
      </w:r>
      <w:r w:rsidRPr="00FB30BF">
        <w:rPr>
          <w:b w:val="0"/>
          <w:color w:val="auto"/>
        </w:rPr>
        <w:instrText xml:space="preserve"> SEQ Table \* ARABIC </w:instrText>
      </w:r>
      <w:r w:rsidRPr="00FB30BF">
        <w:rPr>
          <w:b w:val="0"/>
          <w:color w:val="auto"/>
        </w:rPr>
        <w:fldChar w:fldCharType="separate"/>
      </w:r>
      <w:r w:rsidR="00C22CD5">
        <w:rPr>
          <w:b w:val="0"/>
          <w:noProof/>
          <w:color w:val="auto"/>
        </w:rPr>
        <w:t>5</w:t>
      </w:r>
      <w:r w:rsidRPr="00FB30BF">
        <w:rPr>
          <w:b w:val="0"/>
          <w:color w:val="auto"/>
        </w:rPr>
        <w:fldChar w:fldCharType="end"/>
      </w:r>
      <w:r w:rsidRPr="00FB30BF">
        <w:rPr>
          <w:b w:val="0"/>
          <w:color w:val="auto"/>
        </w:rPr>
        <w:t xml:space="preserve">: </w:t>
      </w:r>
      <w:r>
        <w:rPr>
          <w:b w:val="0"/>
          <w:color w:val="auto"/>
        </w:rPr>
        <w:t>Comparing the Gini Index and Palma Measure</w:t>
      </w:r>
      <w:r w:rsidRPr="00FB30BF">
        <w:rPr>
          <w:b w:val="0"/>
          <w:color w:val="auto"/>
        </w:rPr>
        <w:t xml:space="preserve"> for Artificial Countries</w:t>
      </w:r>
    </w:p>
    <w:p w14:paraId="366FE464" w14:textId="77777777" w:rsidR="00984073" w:rsidRDefault="00984073" w:rsidP="00984073">
      <w:pPr>
        <w:pStyle w:val="Heading1"/>
      </w:pPr>
      <w:r>
        <w:t>Proceeding to real-world data</w:t>
      </w:r>
    </w:p>
    <w:p w14:paraId="7D99A777"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0ABA89F4"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We use two kinds of data: aggregated national data from the World Bank Development Indicators (WDI) and a relevant household dataset, the South African National Income Dynamics Study (NIDS). NIDS is a panel data survey that has been run consistently since 2008 (SALDRU, 2015). I discuss the ways students use and think about the NIDS data for each of the three topics: income, poverty and inequality.  </w:t>
      </w:r>
    </w:p>
    <w:p w14:paraId="314B03B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E63F3EC" w14:textId="58EA3BDC" w:rsidR="00182244"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In the </w:t>
      </w:r>
      <w:r w:rsidR="00A210CA">
        <w:rPr>
          <w:rFonts w:ascii="Cambria" w:hAnsi="Cambria" w:cs="Cambria"/>
          <w:color w:val="000000"/>
        </w:rPr>
        <w:t xml:space="preserve">NIDS </w:t>
      </w:r>
      <w:r>
        <w:rPr>
          <w:rFonts w:ascii="Cambria" w:hAnsi="Cambria" w:cs="Cambria"/>
          <w:color w:val="000000"/>
        </w:rPr>
        <w:t>dataset, students are given a spreadsheet with eight variables</w:t>
      </w:r>
      <w:r w:rsidR="00BC0D25">
        <w:rPr>
          <w:rFonts w:ascii="Cambria" w:hAnsi="Cambria" w:cs="Cambria"/>
          <w:color w:val="000000"/>
        </w:rPr>
        <w:t xml:space="preserve"> as shown in the MS Excel spreadsheet in the supplementary materials</w:t>
      </w:r>
      <w:r>
        <w:rPr>
          <w:rFonts w:ascii="Cambria" w:hAnsi="Cambria" w:cs="Cambria"/>
          <w:color w:val="000000"/>
        </w:rPr>
        <w:t xml:space="preserve">: a household identifier (hhid), household size (hhsize), household income net of remittances and government transfer (hhy_net), government transfers received by the household (transfers), remittances received by the household (remittances), per capita net income which is measured as net income divided by household size, the household’s income rank from lowest to highest (rank(pcy)), and the distribution of the ranks </w:t>
      </w:r>
      <w:r>
        <w:rPr>
          <w:rFonts w:ascii="Cambria" w:hAnsi="Cambria" w:cs="Cambria"/>
          <w:color w:val="000000"/>
        </w:rPr>
        <w:lastRenderedPageBreak/>
        <w:t>F(pcy).</w:t>
      </w:r>
      <w:r>
        <w:rPr>
          <w:rStyle w:val="FootnoteReference"/>
          <w:rFonts w:ascii="Cambria" w:hAnsi="Cambria" w:cs="Cambria"/>
          <w:color w:val="000000"/>
        </w:rPr>
        <w:footnoteReference w:id="4"/>
      </w:r>
      <w:r>
        <w:rPr>
          <w:rFonts w:ascii="Cambria" w:hAnsi="Cambria" w:cs="Cambria"/>
          <w:color w:val="000000"/>
        </w:rPr>
        <w:t xml:space="preserve">  </w:t>
      </w:r>
      <w:r w:rsidR="00442F18">
        <w:rPr>
          <w:rFonts w:ascii="Cambria" w:hAnsi="Cambria" w:cs="Cambria"/>
          <w:color w:val="000000"/>
        </w:rPr>
        <w:t>The instructor only needs a dataset with five of these to compute the others</w:t>
      </w:r>
      <w:r w:rsidR="00FA6664">
        <w:rPr>
          <w:rFonts w:ascii="Cambria" w:hAnsi="Cambria" w:cs="Cambria"/>
          <w:color w:val="000000"/>
        </w:rPr>
        <w:t xml:space="preserve"> (I provide pcy, hhrank and F(pcy) as aides to the students</w:t>
      </w:r>
      <w:r w:rsidR="00EC473E">
        <w:rPr>
          <w:rFonts w:ascii="Cambria" w:hAnsi="Cambria" w:cs="Cambria"/>
          <w:color w:val="000000"/>
        </w:rPr>
        <w:t xml:space="preserve"> for initial attempts to work with the data</w:t>
      </w:r>
      <w:r w:rsidR="00FA6664">
        <w:rPr>
          <w:rFonts w:ascii="Cambria" w:hAnsi="Cambria" w:cs="Cambria"/>
          <w:color w:val="000000"/>
        </w:rPr>
        <w:t>)</w:t>
      </w:r>
      <w:r w:rsidR="00442F18">
        <w:rPr>
          <w:rFonts w:ascii="Cambria" w:hAnsi="Cambria" w:cs="Cambria"/>
          <w:color w:val="000000"/>
        </w:rPr>
        <w:t xml:space="preserve">. </w:t>
      </w:r>
    </w:p>
    <w:p w14:paraId="11CF62D8" w14:textId="77777777" w:rsidR="00182244" w:rsidRDefault="00182244"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25DA9EE2" w14:textId="45EFE32A" w:rsidR="00984073" w:rsidRDefault="00182244"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Prior to giving students the full data set for problem sets and the midterm exam, students are first shown a ten row dataset</w:t>
      </w:r>
      <w:r w:rsidR="00B47F8B">
        <w:rPr>
          <w:rFonts w:ascii="Cambria" w:hAnsi="Cambria" w:cs="Cambria"/>
          <w:color w:val="000000"/>
        </w:rPr>
        <w:t xml:space="preserve">. The ten row data set comprises ten household </w:t>
      </w:r>
      <w:r>
        <w:rPr>
          <w:rFonts w:ascii="Cambria" w:hAnsi="Cambria" w:cs="Cambria"/>
          <w:color w:val="000000"/>
        </w:rPr>
        <w:t xml:space="preserve">randomly selected from </w:t>
      </w:r>
      <w:r w:rsidR="00B47F8B">
        <w:rPr>
          <w:rFonts w:ascii="Cambria" w:hAnsi="Cambria" w:cs="Cambria"/>
          <w:color w:val="000000"/>
        </w:rPr>
        <w:t xml:space="preserve">the full NIDS or ENHRUM dataset and the incomes are linearly transformed (so that they appear different to the equivalents in the original survey). Each household has the variable </w:t>
      </w:r>
      <w:r w:rsidR="002C4AFE">
        <w:rPr>
          <w:rFonts w:ascii="Cambria" w:hAnsi="Cambria" w:cs="Cambria"/>
          <w:color w:val="000000"/>
        </w:rPr>
        <w:t>as shown in the final dataset and I explain to students the c</w:t>
      </w:r>
      <w:r>
        <w:rPr>
          <w:rFonts w:ascii="Cambria" w:hAnsi="Cambria" w:cs="Cambria"/>
          <w:color w:val="000000"/>
        </w:rPr>
        <w:t xml:space="preserve">orrespondence </w:t>
      </w:r>
      <w:r w:rsidR="006A6DAC">
        <w:rPr>
          <w:rFonts w:ascii="Cambria" w:hAnsi="Cambria" w:cs="Cambria"/>
          <w:color w:val="000000"/>
        </w:rPr>
        <w:t>between the ten</w:t>
      </w:r>
      <w:r w:rsidR="001B2C15">
        <w:rPr>
          <w:rFonts w:ascii="Cambria" w:hAnsi="Cambria" w:cs="Cambria"/>
          <w:color w:val="000000"/>
        </w:rPr>
        <w:t>-</w:t>
      </w:r>
      <w:r w:rsidR="006A6DAC">
        <w:rPr>
          <w:rFonts w:ascii="Cambria" w:hAnsi="Cambria" w:cs="Cambria"/>
          <w:color w:val="000000"/>
        </w:rPr>
        <w:t>person (or ten-</w:t>
      </w:r>
      <w:r>
        <w:rPr>
          <w:rFonts w:ascii="Cambria" w:hAnsi="Cambria" w:cs="Cambria"/>
          <w:color w:val="000000"/>
        </w:rPr>
        <w:t xml:space="preserve">household) dataset that we used in the exercise and </w:t>
      </w:r>
      <w:r w:rsidR="00E610C8">
        <w:rPr>
          <w:rFonts w:ascii="Cambria" w:hAnsi="Cambria" w:cs="Cambria"/>
          <w:color w:val="000000"/>
        </w:rPr>
        <w:t>this sample data</w:t>
      </w:r>
      <w:r w:rsidR="009F2174">
        <w:rPr>
          <w:rFonts w:ascii="Cambria" w:hAnsi="Cambria" w:cs="Cambria"/>
          <w:color w:val="000000"/>
        </w:rPr>
        <w:t xml:space="preserve">set from the data we shall use. </w:t>
      </w:r>
      <w:r w:rsidR="00AD053C">
        <w:rPr>
          <w:rFonts w:ascii="Cambria" w:hAnsi="Cambria" w:cs="Cambria"/>
          <w:color w:val="000000"/>
        </w:rPr>
        <w:t xml:space="preserve">We discuss how each of the measures we have already </w:t>
      </w:r>
      <w:r w:rsidR="00E456DA">
        <w:rPr>
          <w:rFonts w:ascii="Cambria" w:hAnsi="Cambria" w:cs="Cambria"/>
          <w:color w:val="000000"/>
        </w:rPr>
        <w:t xml:space="preserve">found for income, poverty, and inequality </w:t>
      </w:r>
      <w:r w:rsidR="005614F6">
        <w:rPr>
          <w:rFonts w:ascii="Cambria" w:hAnsi="Cambria" w:cs="Cambria"/>
          <w:color w:val="000000"/>
        </w:rPr>
        <w:t xml:space="preserve">can be used to understand inequality with this mini dataset. </w:t>
      </w:r>
      <w:r w:rsidR="00235ACA">
        <w:rPr>
          <w:rFonts w:ascii="Cambria" w:hAnsi="Cambria" w:cs="Cambria"/>
          <w:color w:val="000000"/>
        </w:rPr>
        <w:t xml:space="preserve">Students can then </w:t>
      </w:r>
      <w:r w:rsidR="0064561F">
        <w:rPr>
          <w:rFonts w:ascii="Cambria" w:hAnsi="Cambria" w:cs="Cambria"/>
          <w:color w:val="000000"/>
        </w:rPr>
        <w:t>re-ap</w:t>
      </w:r>
      <w:r w:rsidR="00C521C9">
        <w:rPr>
          <w:rFonts w:ascii="Cambria" w:hAnsi="Cambria" w:cs="Cambria"/>
          <w:color w:val="000000"/>
        </w:rPr>
        <w:t>ply these insights to the full</w:t>
      </w:r>
      <w:r w:rsidR="0064561F">
        <w:rPr>
          <w:rFonts w:ascii="Cambria" w:hAnsi="Cambria" w:cs="Cambria"/>
          <w:color w:val="000000"/>
        </w:rPr>
        <w:t xml:space="preserve"> data</w:t>
      </w:r>
      <w:r w:rsidR="00C521C9">
        <w:rPr>
          <w:rFonts w:ascii="Cambria" w:hAnsi="Cambria" w:cs="Cambria"/>
          <w:color w:val="000000"/>
        </w:rPr>
        <w:t xml:space="preserve"> set</w:t>
      </w:r>
      <w:r w:rsidR="00610E1F">
        <w:rPr>
          <w:rFonts w:ascii="Cambria" w:hAnsi="Cambria" w:cs="Cambria"/>
          <w:color w:val="000000"/>
        </w:rPr>
        <w:t xml:space="preserve"> and think through, particularly, the roles of government transfers and household transfers (remittances)</w:t>
      </w:r>
      <w:r w:rsidR="00C521C9">
        <w:rPr>
          <w:rFonts w:ascii="Cambria" w:hAnsi="Cambria" w:cs="Cambria"/>
          <w:color w:val="000000"/>
        </w:rPr>
        <w:t>.</w:t>
      </w:r>
    </w:p>
    <w:p w14:paraId="6A074A96" w14:textId="77777777" w:rsidR="00984073" w:rsidRDefault="00984073" w:rsidP="00984073">
      <w:pPr>
        <w:pStyle w:val="Heading2"/>
      </w:pPr>
      <w:r>
        <w:t xml:space="preserve">Income </w:t>
      </w:r>
    </w:p>
    <w:p w14:paraId="34C53FA0"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First, for income, one learning outcome that students can gain substantially from is to understand the difference between a country’s per-capita GDP during a given year and the average incomes from a household survey for that same country. Students can be asked to identify how a country should be classified according to the WDI data and how that some country would be classified if the income classification were done based on the average incomes from a household survey, such as NIDS from South Africa or ENHRUM from Mexico. </w:t>
      </w:r>
    </w:p>
    <w:p w14:paraId="0E269C85"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A4F410D" w14:textId="4AD87BF1"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Using the spreadsheet from a subset of data from </w:t>
      </w:r>
      <w:r w:rsidR="001C3861">
        <w:rPr>
          <w:rFonts w:ascii="Cambria" w:hAnsi="Cambria" w:cs="Cambria"/>
          <w:color w:val="000000"/>
        </w:rPr>
        <w:t xml:space="preserve">the 2008 wave of </w:t>
      </w:r>
      <w:r>
        <w:rPr>
          <w:rFonts w:ascii="Cambria" w:hAnsi="Cambria" w:cs="Cambria"/>
          <w:color w:val="000000"/>
        </w:rPr>
        <w:t>NIDS, students compute the average per-capita income using the net household income, summing it over all the row</w:t>
      </w:r>
      <w:r w:rsidR="00950913">
        <w:rPr>
          <w:rFonts w:ascii="Cambria" w:hAnsi="Cambria" w:cs="Cambria"/>
          <w:color w:val="000000"/>
        </w:rPr>
        <w:t>s</w:t>
      </w:r>
      <w:r>
        <w:rPr>
          <w:rFonts w:ascii="Cambria" w:hAnsi="Cambria" w:cs="Cambria"/>
          <w:color w:val="000000"/>
        </w:rPr>
        <w:t xml:space="preserve"> and dividing it by the total population in the survey to find the average per-capita income. This provides a </w:t>
      </w:r>
      <w:r>
        <w:rPr>
          <w:rFonts w:ascii="Cambria" w:hAnsi="Cambria" w:cs="Cambria"/>
          <w:i/>
          <w:color w:val="000000"/>
        </w:rPr>
        <w:t>monthly</w:t>
      </w:r>
      <w:r>
        <w:rPr>
          <w:rFonts w:ascii="Cambria" w:hAnsi="Cambria" w:cs="Cambria"/>
          <w:color w:val="000000"/>
        </w:rPr>
        <w:t xml:space="preserve"> number as the net household income is measured on a monthly basis. But, World Bank data are based on annual measures, so students have to multiply the number they find by 12 to find an annual number (on this basis you can also start a valuable conversation about what social scientists would assume if we take one month as representative of all months over a year). </w:t>
      </w:r>
    </w:p>
    <w:p w14:paraId="4D7F8C67"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313A2ED9" w14:textId="61080913"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Having computed the annual number, students must convert it using the exchange rate equivalents in US dollars, and then convert these once again to Purchasing Power Parity dollars</w:t>
      </w:r>
      <w:r w:rsidR="000A51D6">
        <w:rPr>
          <w:rFonts w:ascii="Cambria" w:hAnsi="Cambria" w:cs="Cambria"/>
          <w:color w:val="000000"/>
        </w:rPr>
        <w:t xml:space="preserve"> to compare with the WDI data</w:t>
      </w:r>
      <w:r>
        <w:rPr>
          <w:rFonts w:ascii="Cambria" w:hAnsi="Cambria" w:cs="Cambria"/>
          <w:color w:val="000000"/>
        </w:rPr>
        <w:t xml:space="preserve">. Students gain two skills from doing this: they understand, first, the difference between exchange rates without purchasing power parity, which is the number with which they are most familiar if </w:t>
      </w:r>
      <w:r>
        <w:rPr>
          <w:rFonts w:ascii="Cambria" w:hAnsi="Cambria" w:cs="Cambria"/>
          <w:i/>
          <w:color w:val="000000"/>
        </w:rPr>
        <w:lastRenderedPageBreak/>
        <w:t>they</w:t>
      </w:r>
      <w:r>
        <w:rPr>
          <w:rFonts w:ascii="Cambria" w:hAnsi="Cambria" w:cs="Cambria"/>
          <w:color w:val="000000"/>
        </w:rPr>
        <w:t xml:space="preserve"> were to convert their own money to a foreign currency, and, second, they realize that local prices and consumption patterns must be controlled for in order to compare countries internationally. The PPP comparison is used to compare the data to the World Bank categorizations of income per capita based on PPP GDP with aggregated World Bank Development Indicator (WDI) data and make a decision on whether the country would still be classified as the World Bank Classified it based on GDP data. As average incomes from household surveys are often lower than the per-capita income computed from GDP data, students can see that the country may be classified different</w:t>
      </w:r>
      <w:r w:rsidR="0044448F">
        <w:rPr>
          <w:rFonts w:ascii="Cambria" w:hAnsi="Cambria" w:cs="Cambria"/>
          <w:color w:val="000000"/>
        </w:rPr>
        <w:t>ly</w:t>
      </w:r>
      <w:r>
        <w:rPr>
          <w:rFonts w:ascii="Cambria" w:hAnsi="Cambria" w:cs="Cambria"/>
          <w:color w:val="000000"/>
        </w:rPr>
        <w:t xml:space="preserve"> to how it would be classified using GDP data. </w:t>
      </w:r>
    </w:p>
    <w:p w14:paraId="237079B3" w14:textId="77777777" w:rsidR="00984073" w:rsidRDefault="00984073" w:rsidP="00984073">
      <w:pPr>
        <w:pStyle w:val="Heading2"/>
      </w:pPr>
      <w:r>
        <w:t>Poverty</w:t>
      </w:r>
    </w:p>
    <w:p w14:paraId="2CF99FD8"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Having computed and compared incomes, students use the per capita income data to compute the Foster-Greer-Thorbecke index measures to understand basic poverty measures. There are two basic capabilities that students need to do this: </w:t>
      </w:r>
    </w:p>
    <w:p w14:paraId="7F75F6CF" w14:textId="77777777" w:rsidR="00984073" w:rsidRDefault="00984073" w:rsidP="0098407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Familiarity with using mathematical formulas in Excel.</w:t>
      </w:r>
    </w:p>
    <w:p w14:paraId="6B8A5F21" w14:textId="77777777" w:rsidR="00984073" w:rsidRPr="00135AB4" w:rsidRDefault="00984073" w:rsidP="0098407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135AB4">
        <w:rPr>
          <w:rFonts w:ascii="Cambria" w:hAnsi="Cambria" w:cs="Cambria"/>
          <w:color w:val="000000"/>
        </w:rPr>
        <w:t xml:space="preserve">Familiarity with IF statements in Excel. </w:t>
      </w:r>
    </w:p>
    <w:p w14:paraId="36705F9D"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010CFCC" w14:textId="5FB49025"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Students need to be familiar with if statements to ensure that when they calculate the poverty measures, they only count individuals in households with per-capita income below the poverty line. They then use mathematical formulas independently of the if statement (or within the if statement) to compute the household’s poverty gap and the household’s poverty gap-squared.</w:t>
      </w:r>
      <w:r>
        <w:rPr>
          <w:rStyle w:val="FootnoteReference"/>
          <w:rFonts w:ascii="Cambria" w:hAnsi="Cambria" w:cs="Cambria"/>
          <w:color w:val="000000"/>
        </w:rPr>
        <w:footnoteReference w:id="5"/>
      </w:r>
      <w:r>
        <w:rPr>
          <w:rFonts w:ascii="Cambria" w:hAnsi="Cambria" w:cs="Cambria"/>
          <w:color w:val="000000"/>
        </w:rPr>
        <w:t xml:space="preserve"> </w:t>
      </w:r>
      <w:r w:rsidR="0016132F">
        <w:rPr>
          <w:rFonts w:ascii="Cambria" w:hAnsi="Cambria" w:cs="Cambria"/>
          <w:color w:val="000000"/>
        </w:rPr>
        <w:t xml:space="preserve">For all of the following calculations, please refer to the annotated spreadsheet in the supplementary materials to see how they are computed. </w:t>
      </w:r>
    </w:p>
    <w:p w14:paraId="70007CB4"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5DBCFD0D"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Let us start with FGT(0) or the head count ratio. </w:t>
      </w:r>
    </w:p>
    <w:p w14:paraId="3644B8B6" w14:textId="77777777" w:rsidR="00984073" w:rsidRDefault="00984073" w:rsidP="0098407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735DAA">
        <w:rPr>
          <w:rFonts w:ascii="Cambria" w:hAnsi="Cambria" w:cs="Cambria"/>
          <w:color w:val="000000"/>
        </w:rPr>
        <w:t xml:space="preserve">In one column, use an if statement to count whether the household is classified as poor or not based on the per-capita income. This if statement takes a 1 if the household is poor and 0 otherwise. </w:t>
      </w:r>
    </w:p>
    <w:p w14:paraId="056EE18E" w14:textId="77777777" w:rsidR="00984073" w:rsidRDefault="00984073" w:rsidP="0098407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sidRPr="00735DAA">
        <w:rPr>
          <w:rFonts w:ascii="Cambria" w:hAnsi="Cambria" w:cs="Cambria"/>
          <w:color w:val="000000"/>
        </w:rPr>
        <w:t xml:space="preserve"> In the next column, multiply the household size by the outcome of whether the household is poor or not. </w:t>
      </w:r>
      <w:r>
        <w:rPr>
          <w:rFonts w:ascii="Cambria" w:hAnsi="Cambria" w:cs="Cambria"/>
          <w:color w:val="000000"/>
        </w:rPr>
        <w:t xml:space="preserve">This is the </w:t>
      </w:r>
      <w:r>
        <w:rPr>
          <w:rFonts w:ascii="Cambria" w:hAnsi="Cambria" w:cs="Cambria"/>
          <w:i/>
          <w:color w:val="000000"/>
        </w:rPr>
        <w:t>total number of poor individuals</w:t>
      </w:r>
      <w:r>
        <w:rPr>
          <w:rFonts w:ascii="Cambria" w:hAnsi="Cambria" w:cs="Cambria"/>
          <w:color w:val="000000"/>
        </w:rPr>
        <w:t xml:space="preserve"> in the household. </w:t>
      </w:r>
    </w:p>
    <w:p w14:paraId="09CFCA59" w14:textId="77777777" w:rsidR="00984073" w:rsidRDefault="00984073" w:rsidP="0098407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In a new cell (preferably in a new sheet), sum all of the </w:t>
      </w:r>
      <w:r>
        <w:rPr>
          <w:rFonts w:ascii="Cambria" w:hAnsi="Cambria" w:cs="Cambria"/>
          <w:i/>
          <w:color w:val="000000"/>
        </w:rPr>
        <w:t>rows</w:t>
      </w:r>
      <w:r>
        <w:rPr>
          <w:rFonts w:ascii="Cambria" w:hAnsi="Cambria" w:cs="Cambria"/>
          <w:color w:val="000000"/>
        </w:rPr>
        <w:t xml:space="preserve"> showing the total number of poor individuals in each household. This is the </w:t>
      </w:r>
      <w:r>
        <w:rPr>
          <w:rFonts w:ascii="Cambria" w:hAnsi="Cambria" w:cs="Cambria"/>
          <w:i/>
          <w:color w:val="000000"/>
        </w:rPr>
        <w:t>poverty head count</w:t>
      </w:r>
      <w:r>
        <w:rPr>
          <w:rFonts w:ascii="Cambria" w:hAnsi="Cambria" w:cs="Cambria"/>
          <w:color w:val="000000"/>
        </w:rPr>
        <w:t xml:space="preserve">. </w:t>
      </w:r>
    </w:p>
    <w:p w14:paraId="03926FEF" w14:textId="77777777" w:rsidR="00984073" w:rsidRDefault="00984073" w:rsidP="0098407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Divide the </w:t>
      </w:r>
      <w:r>
        <w:rPr>
          <w:rFonts w:ascii="Cambria" w:hAnsi="Cambria" w:cs="Cambria"/>
          <w:i/>
          <w:color w:val="000000"/>
        </w:rPr>
        <w:t>poverty head count</w:t>
      </w:r>
      <w:r>
        <w:rPr>
          <w:rFonts w:ascii="Cambria" w:hAnsi="Cambria" w:cs="Cambria"/>
          <w:color w:val="000000"/>
        </w:rPr>
        <w:t xml:space="preserve"> by the </w:t>
      </w:r>
      <w:r>
        <w:rPr>
          <w:rFonts w:ascii="Cambria" w:hAnsi="Cambria" w:cs="Cambria"/>
          <w:i/>
          <w:color w:val="000000"/>
        </w:rPr>
        <w:t>total population</w:t>
      </w:r>
      <w:r>
        <w:rPr>
          <w:rFonts w:ascii="Cambria" w:hAnsi="Cambria" w:cs="Cambria"/>
          <w:color w:val="000000"/>
        </w:rPr>
        <w:t xml:space="preserve"> in the sample to find the poverty head count ratio or FGT(0). </w:t>
      </w:r>
    </w:p>
    <w:p w14:paraId="23DCCEC3"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8F4C563"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For the poverty gap and the FGT(1) we use steps 1 and 2 from previously, but add 4 more steps: </w:t>
      </w:r>
    </w:p>
    <w:p w14:paraId="114549CC" w14:textId="77777777" w:rsidR="00984073" w:rsidRDefault="00984073" w:rsidP="0098407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Subtract the household’s per capita income from the poverty line (in South Africa in 2008, this was ZAR515 per person per month). This is the </w:t>
      </w:r>
      <w:r>
        <w:rPr>
          <w:rFonts w:ascii="Cambria" w:hAnsi="Cambria" w:cs="Cambria"/>
          <w:i/>
          <w:color w:val="000000"/>
        </w:rPr>
        <w:t>individual poverty gap</w:t>
      </w:r>
      <w:r>
        <w:rPr>
          <w:rFonts w:ascii="Cambria" w:hAnsi="Cambria" w:cs="Cambria"/>
          <w:color w:val="000000"/>
        </w:rPr>
        <w:t>.</w:t>
      </w:r>
    </w:p>
    <w:p w14:paraId="2A2CE0FE" w14:textId="77777777" w:rsidR="00984073" w:rsidRDefault="00984073" w:rsidP="0098407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lastRenderedPageBreak/>
        <w:t xml:space="preserve"> Multiply the individual poverty gap by the number of poor household members (from step 2). This is the </w:t>
      </w:r>
      <w:r>
        <w:rPr>
          <w:rFonts w:ascii="Cambria" w:hAnsi="Cambria" w:cs="Cambria"/>
          <w:i/>
          <w:color w:val="000000"/>
        </w:rPr>
        <w:t>total household poverty gap</w:t>
      </w:r>
      <w:r>
        <w:rPr>
          <w:rFonts w:ascii="Cambria" w:hAnsi="Cambria" w:cs="Cambria"/>
          <w:color w:val="000000"/>
        </w:rPr>
        <w:t xml:space="preserve">. </w:t>
      </w:r>
    </w:p>
    <w:p w14:paraId="16C02780" w14:textId="77777777" w:rsidR="00984073" w:rsidRDefault="00984073" w:rsidP="0098407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Sum all of the household poverty gaps to find the </w:t>
      </w:r>
      <w:r>
        <w:rPr>
          <w:rFonts w:ascii="Cambria" w:hAnsi="Cambria" w:cs="Cambria"/>
          <w:i/>
          <w:color w:val="000000"/>
        </w:rPr>
        <w:t>total poverty gap</w:t>
      </w:r>
      <w:r>
        <w:rPr>
          <w:rFonts w:ascii="Cambria" w:hAnsi="Cambria" w:cs="Cambria"/>
          <w:color w:val="000000"/>
        </w:rPr>
        <w:t xml:space="preserve">. </w:t>
      </w:r>
    </w:p>
    <w:p w14:paraId="64B807F4" w14:textId="77777777" w:rsidR="00984073" w:rsidRDefault="00984073" w:rsidP="0098407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Divide the total poverty gap by the number of individuals in the sample multiplied by the poverty line to find the </w:t>
      </w:r>
      <w:r>
        <w:rPr>
          <w:rFonts w:ascii="Cambria" w:hAnsi="Cambria" w:cs="Cambria"/>
          <w:i/>
          <w:color w:val="000000"/>
        </w:rPr>
        <w:t>poverty gap index</w:t>
      </w:r>
      <w:r>
        <w:rPr>
          <w:rFonts w:ascii="Cambria" w:hAnsi="Cambria" w:cs="Cambria"/>
          <w:color w:val="000000"/>
        </w:rPr>
        <w:t xml:space="preserve"> or FGT(1). </w:t>
      </w:r>
    </w:p>
    <w:p w14:paraId="03160D2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0003987E"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For the poverty gap-squared, we replicate steps 1 though 2 from previously, but replace steps 3 through 6 with the following: </w:t>
      </w:r>
    </w:p>
    <w:p w14:paraId="24FDCEE7" w14:textId="77777777" w:rsidR="00984073" w:rsidRDefault="00984073" w:rsidP="0098407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Subtract the household’s per capita income from the poverty line (in South Africa in 2008, this was ZAR515 per person per month) and square this number (raise it to the power 2). This is the </w:t>
      </w:r>
      <w:r>
        <w:rPr>
          <w:rFonts w:ascii="Cambria" w:hAnsi="Cambria" w:cs="Cambria"/>
          <w:i/>
          <w:color w:val="000000"/>
        </w:rPr>
        <w:t>individual poverty gap-squared</w:t>
      </w:r>
      <w:r>
        <w:rPr>
          <w:rFonts w:ascii="Cambria" w:hAnsi="Cambria" w:cs="Cambria"/>
          <w:color w:val="000000"/>
        </w:rPr>
        <w:t>.</w:t>
      </w:r>
    </w:p>
    <w:p w14:paraId="37F73613" w14:textId="77777777" w:rsidR="00984073" w:rsidRDefault="00984073" w:rsidP="0098407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Multiply the individual poverty gap-squared by the number of poor household members (from step 2). This is the </w:t>
      </w:r>
      <w:r>
        <w:rPr>
          <w:rFonts w:ascii="Cambria" w:hAnsi="Cambria" w:cs="Cambria"/>
          <w:i/>
          <w:color w:val="000000"/>
        </w:rPr>
        <w:t>total household poverty gap-squared</w:t>
      </w:r>
      <w:r>
        <w:rPr>
          <w:rFonts w:ascii="Cambria" w:hAnsi="Cambria" w:cs="Cambria"/>
          <w:color w:val="000000"/>
        </w:rPr>
        <w:t xml:space="preserve">. </w:t>
      </w:r>
    </w:p>
    <w:p w14:paraId="21E24EDF" w14:textId="77777777" w:rsidR="00984073" w:rsidRDefault="00984073" w:rsidP="0098407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Sum all of the household poverty gaps-squared to find the </w:t>
      </w:r>
      <w:r>
        <w:rPr>
          <w:rFonts w:ascii="Cambria" w:hAnsi="Cambria" w:cs="Cambria"/>
          <w:i/>
          <w:color w:val="000000"/>
        </w:rPr>
        <w:t>total poverty gap-squared</w:t>
      </w:r>
      <w:r>
        <w:rPr>
          <w:rFonts w:ascii="Cambria" w:hAnsi="Cambria" w:cs="Cambria"/>
          <w:color w:val="000000"/>
        </w:rPr>
        <w:t xml:space="preserve">. </w:t>
      </w:r>
    </w:p>
    <w:p w14:paraId="01F87DEF" w14:textId="77777777" w:rsidR="00984073" w:rsidRDefault="00984073" w:rsidP="0098407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Divide the total poverty gap-squared by the number of individuals in the sample multiplied by the poverty line-squared to find the </w:t>
      </w:r>
      <w:r>
        <w:rPr>
          <w:rFonts w:ascii="Cambria" w:hAnsi="Cambria" w:cs="Cambria"/>
          <w:i/>
          <w:color w:val="000000"/>
        </w:rPr>
        <w:t>poverty gap-squared index</w:t>
      </w:r>
      <w:r>
        <w:rPr>
          <w:rFonts w:ascii="Cambria" w:hAnsi="Cambria" w:cs="Cambria"/>
          <w:color w:val="000000"/>
        </w:rPr>
        <w:t xml:space="preserve"> or FGT(2). </w:t>
      </w:r>
    </w:p>
    <w:p w14:paraId="3503E0CA" w14:textId="77777777" w:rsidR="00984073" w:rsidRDefault="00984073" w:rsidP="0098407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0D36A3E"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Having completed these calculations for the initial per-capita income data, students are asked to include the monthly household transfers from government and remittances into the household total income to re-calculate per capita income. They repeat the processes used to calculate the poverty head count ratio, poverty gap index, and poverty gap-squared index to evaluate the effects of transfers and remittances on poverty. In so doing, they can see the ways in which anti-poverty policy can alleviate the proportion of the population that is poor, the depth of poverty of poor individuals, and the severity of poverty for the most poor. </w:t>
      </w:r>
    </w:p>
    <w:p w14:paraId="799FBA97" w14:textId="77777777" w:rsidR="00984073" w:rsidRDefault="00984073" w:rsidP="00984073">
      <w:pPr>
        <w:pStyle w:val="Heading2"/>
      </w:pPr>
      <w:r>
        <w:t>Inequality</w:t>
      </w:r>
    </w:p>
    <w:p w14:paraId="7FC62C9C" w14:textId="5095F2D8"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Having examined poverty and the effects of transfers and remittances on poverty, students use the same data to compute a Gini index on </w:t>
      </w:r>
      <w:r>
        <w:rPr>
          <w:rFonts w:ascii="Cambria" w:hAnsi="Cambria" w:cs="Cambria"/>
          <w:i/>
          <w:color w:val="000000"/>
        </w:rPr>
        <w:t>household</w:t>
      </w:r>
      <w:r>
        <w:rPr>
          <w:rFonts w:ascii="Cambria" w:hAnsi="Cambria" w:cs="Cambria"/>
          <w:color w:val="000000"/>
        </w:rPr>
        <w:t xml:space="preserve"> data.</w:t>
      </w:r>
      <w:r>
        <w:rPr>
          <w:rStyle w:val="FootnoteReference"/>
          <w:rFonts w:ascii="Cambria" w:hAnsi="Cambria" w:cs="Cambria"/>
          <w:color w:val="000000"/>
        </w:rPr>
        <w:footnoteReference w:id="6"/>
      </w:r>
      <w:r>
        <w:rPr>
          <w:rFonts w:ascii="Cambria" w:hAnsi="Cambria" w:cs="Cambria"/>
          <w:color w:val="000000"/>
        </w:rPr>
        <w:t xml:space="preserve"> Unlike with the artificial household exercise, students do not compute each household’s share of the difference between the Lorenz Curve and the line of perfect equality. Instead, they use the covariance formulation of the Gini index. To do this, they require</w:t>
      </w:r>
      <w:r w:rsidR="00B862C2">
        <w:rPr>
          <w:rFonts w:ascii="Cambria" w:hAnsi="Cambria" w:cs="Cambria"/>
          <w:color w:val="000000"/>
        </w:rPr>
        <w:t xml:space="preserve"> two</w:t>
      </w:r>
      <w:r w:rsidR="00062DB6">
        <w:rPr>
          <w:rFonts w:ascii="Cambria" w:hAnsi="Cambria" w:cs="Cambria"/>
          <w:color w:val="000000"/>
        </w:rPr>
        <w:t xml:space="preserve"> </w:t>
      </w:r>
      <w:r>
        <w:rPr>
          <w:rFonts w:ascii="Cambria" w:hAnsi="Cambria" w:cs="Cambria"/>
          <w:color w:val="000000"/>
        </w:rPr>
        <w:t xml:space="preserve">pieces of information: </w:t>
      </w:r>
    </w:p>
    <w:p w14:paraId="70AA6351" w14:textId="77777777" w:rsidR="00984073" w:rsidRDefault="00984073" w:rsidP="0098407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The rank of each household in terms of the overall income distribution to form a distribution. </w:t>
      </w:r>
    </w:p>
    <w:p w14:paraId="53B10400" w14:textId="77777777" w:rsidR="00984073" w:rsidRDefault="00984073" w:rsidP="0098407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Each household’s per-capita income</w:t>
      </w:r>
    </w:p>
    <w:p w14:paraId="48F34B4B"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The covariance of these terms and the average per-capita income are required for the Gini index. Students can then combine these using the equation to find the Gini index for the data, G = 0.6727 (or 67.27). This is roughly consistent with more </w:t>
      </w:r>
      <w:r>
        <w:rPr>
          <w:rFonts w:ascii="Cambria" w:hAnsi="Cambria" w:cs="Cambria"/>
          <w:color w:val="000000"/>
        </w:rPr>
        <w:lastRenderedPageBreak/>
        <w:t>rigorous estimates of the Gini index from the NIDS data and with estimates of South Africa’s Gini index provided by the World Bank.</w:t>
      </w:r>
      <w:r>
        <w:rPr>
          <w:rStyle w:val="FootnoteReference"/>
          <w:rFonts w:ascii="Cambria" w:hAnsi="Cambria" w:cs="Cambria"/>
          <w:color w:val="000000"/>
        </w:rPr>
        <w:footnoteReference w:id="7"/>
      </w:r>
    </w:p>
    <w:p w14:paraId="389C472D"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6C5CCFD" w14:textId="7647AA8D"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Having completed this aspect of the exercise, students proceed to include remittances and government transfers in household total income and divide it by household size to find the new per capita income (as they did with the poverty measures). They use the new per-capita income to re-rank the households to find a new F(pcy) and go through the same process they went through originally to find the Gini index value. Including remittances and government transfers, the students find that the Gini decreases to 0.4787 (or 47.87). This is an approximate decrease of 20 percentage points or a 40% decrease in inequality as a result of the transfers and remittances, showing the extent to which transfers and remittances alleviate inequality. Students can then compare the post-transfer and post-remittance Gini </w:t>
      </w:r>
      <w:r w:rsidR="00016753">
        <w:rPr>
          <w:rFonts w:ascii="Cambria" w:hAnsi="Cambria" w:cs="Cambria"/>
          <w:color w:val="000000"/>
        </w:rPr>
        <w:t>index</w:t>
      </w:r>
      <w:r>
        <w:rPr>
          <w:rFonts w:ascii="Cambria" w:hAnsi="Cambria" w:cs="Cambria"/>
          <w:color w:val="000000"/>
        </w:rPr>
        <w:t xml:space="preserve"> to comparable Gini index values internationally. </w:t>
      </w:r>
    </w:p>
    <w:p w14:paraId="4D56001E" w14:textId="77777777" w:rsidR="00984073" w:rsidRDefault="00984073" w:rsidP="00984073">
      <w:pPr>
        <w:pStyle w:val="Heading1"/>
      </w:pPr>
      <w:r>
        <w:t>Conclusion and Extensions</w:t>
      </w:r>
    </w:p>
    <w:p w14:paraId="774F628D"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Using only five variables (household income, household size, government transfers, remittance receipts and a unique household identifier), students are able to contrast the effects of government policy and private remittances as anti-poverty and inequality-alleviating measures, as well as identifying the differences between national income measures (such as GDP and per capita GDP) with more granular measures of income, poverty and inequality.</w:t>
      </w:r>
    </w:p>
    <w:p w14:paraId="3B84AB64"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BAFF205" w14:textId="0107A682"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Though I have not proposed how students should use these steps to begin their empirical team projects, the in-class exercises and the Excel-based problems provide the chassis on w</w:t>
      </w:r>
      <w:r w:rsidR="003229DA">
        <w:rPr>
          <w:rFonts w:ascii="Cambria" w:hAnsi="Cambria" w:cs="Cambria"/>
          <w:color w:val="000000"/>
        </w:rPr>
        <w:t>hich such a project can be constructed</w:t>
      </w:r>
      <w:r>
        <w:rPr>
          <w:rFonts w:ascii="Cambria" w:hAnsi="Cambria" w:cs="Cambria"/>
          <w:color w:val="000000"/>
        </w:rPr>
        <w:t>. Students glean the main insight that, with few economic variables</w:t>
      </w:r>
      <w:r w:rsidR="003D2EB5">
        <w:rPr>
          <w:rFonts w:ascii="Cambria" w:hAnsi="Cambria" w:cs="Cambria"/>
          <w:color w:val="000000"/>
        </w:rPr>
        <w:t>,</w:t>
      </w:r>
      <w:r>
        <w:rPr>
          <w:rFonts w:ascii="Cambria" w:hAnsi="Cambria" w:cs="Cambria"/>
          <w:color w:val="000000"/>
        </w:rPr>
        <w:t xml:space="preserve"> they can come to significant conclusions about what the status quo is prior to a policy, such as government transfers</w:t>
      </w:r>
      <w:r w:rsidR="00F543E2">
        <w:rPr>
          <w:rFonts w:ascii="Cambria" w:hAnsi="Cambria" w:cs="Cambria"/>
          <w:color w:val="000000"/>
        </w:rPr>
        <w:t xml:space="preserve"> to the poor</w:t>
      </w:r>
      <w:r>
        <w:rPr>
          <w:rFonts w:ascii="Cambria" w:hAnsi="Cambria" w:cs="Cambria"/>
          <w:color w:val="000000"/>
        </w:rPr>
        <w:t xml:space="preserve">, and what the effects of such a policy might be on household outcomes such as poverty, consumption, or health. In the course in which these skills were taught, students went on to use household data sets to understand urban vs. rural health insurance rates in China, levels of HIV/AIDS, Malaria and TB awareness and knowledge in Nigeria, the distribution of investments in fertilizer in Malawi, a comparison of within and between race inequality in South Africa, and a variety of other topics. In each case, they were enabled to investigate these questions through the knowledge that with a few variables they might be able to come to powerful conclusions. </w:t>
      </w:r>
    </w:p>
    <w:p w14:paraId="1248BBC7"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1411AE23" w14:textId="3F6021DF" w:rsidR="000E01C5" w:rsidRDefault="000E01C5"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Filling a gap in the literature with respect to the teaching of data literacy in economic development, I hope to contribute to an ongoing discussion about </w:t>
      </w:r>
      <w:r>
        <w:rPr>
          <w:rFonts w:ascii="Cambria" w:hAnsi="Cambria" w:cs="Cambria"/>
          <w:color w:val="000000"/>
        </w:rPr>
        <w:lastRenderedPageBreak/>
        <w:t xml:space="preserve">transparency in research, knowledge and application of basic statistics, and </w:t>
      </w:r>
      <w:r w:rsidR="00963391">
        <w:rPr>
          <w:rFonts w:ascii="Cambria" w:hAnsi="Cambria" w:cs="Cambria"/>
          <w:color w:val="000000"/>
        </w:rPr>
        <w:t xml:space="preserve">the uses of empirics in undergraduate economics field courses. </w:t>
      </w:r>
      <w:r w:rsidR="00177B8A">
        <w:rPr>
          <w:rFonts w:ascii="Cambria" w:hAnsi="Cambria" w:cs="Cambria"/>
          <w:color w:val="000000"/>
        </w:rPr>
        <w:t xml:space="preserve">Future research should focus on the related ways in which activities such as these can impact learning directly, rather than on the construction and motivation of these activities such as I have provided here. </w:t>
      </w:r>
    </w:p>
    <w:p w14:paraId="0B58741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5B6A9C67"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References</w:t>
      </w:r>
    </w:p>
    <w:p w14:paraId="23FEF389"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t xml:space="preserve">Acemoglu, Daron, 2013, Economic Growth and Development in the Undergraduate Curriculum, </w:t>
      </w:r>
      <w:r>
        <w:rPr>
          <w:rFonts w:ascii="Cambria" w:hAnsi="Cambria" w:cs="Cambria"/>
          <w:i/>
          <w:iCs/>
          <w:color w:val="000000"/>
        </w:rPr>
        <w:t>Journal of Economic Education</w:t>
      </w:r>
      <w:r>
        <w:rPr>
          <w:rFonts w:ascii="Cambria" w:hAnsi="Cambria" w:cs="Cambria"/>
          <w:color w:val="000000"/>
        </w:rPr>
        <w:t xml:space="preserve">, 44(2), 169-177. </w:t>
      </w:r>
    </w:p>
    <w:p w14:paraId="06D199A0"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t>Bartlett, Robin L. and Paul G. King, 1990, Teaching Economics as  Laboratory Science, Journal of Economic Education, Spring 1990, 181-193</w:t>
      </w:r>
    </w:p>
    <w:p w14:paraId="31FF5436" w14:textId="77777777" w:rsidR="00984073" w:rsidRDefault="00984073" w:rsidP="00984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ab/>
        <w:t xml:space="preserve">Chen, Edward K., 2005, Teaching and Learning Development Economics: Retrospect and Prospect, </w:t>
      </w:r>
      <w:r>
        <w:rPr>
          <w:rFonts w:ascii="Cambria" w:hAnsi="Cambria" w:cs="Cambria"/>
          <w:i/>
          <w:iCs/>
          <w:color w:val="000000"/>
        </w:rPr>
        <w:t>Journal of Economic Education</w:t>
      </w:r>
      <w:r>
        <w:rPr>
          <w:rFonts w:ascii="Cambria" w:hAnsi="Cambria" w:cs="Cambria"/>
          <w:color w:val="000000"/>
        </w:rPr>
        <w:t xml:space="preserve">, Summer, 236-248. </w:t>
      </w:r>
    </w:p>
    <w:p w14:paraId="2B4E613A" w14:textId="77777777" w:rsidR="00984073" w:rsidRDefault="00984073" w:rsidP="00984073">
      <w:pPr>
        <w:ind w:firstLine="720"/>
      </w:pPr>
      <w:r w:rsidRPr="00FE47A0">
        <w:t>Alex Cobham and Andy Sumner, 2013a, ‘</w:t>
      </w:r>
      <w:hyperlink r:id="rId10" w:history="1">
        <w:r w:rsidRPr="00FE47A0">
          <w:rPr>
            <w:rStyle w:val="Hyperlink"/>
          </w:rPr>
          <w:t>Putting the Gini Back in the Bottle? “The Palma</w:t>
        </w:r>
      </w:hyperlink>
      <w:r w:rsidRPr="00FE47A0">
        <w:t>” as a Policy-Relevant Measure of Inequality’, </w:t>
      </w:r>
      <w:r w:rsidRPr="00FE47A0">
        <w:rPr>
          <w:i/>
          <w:iCs/>
        </w:rPr>
        <w:t>Mimeograph</w:t>
      </w:r>
      <w:r w:rsidRPr="00FE47A0">
        <w:t>, London: King’s College London.</w:t>
      </w:r>
    </w:p>
    <w:p w14:paraId="78F4BE17" w14:textId="77777777" w:rsidR="00984073" w:rsidRDefault="00984073" w:rsidP="00984073">
      <w:r>
        <w:tab/>
      </w:r>
      <w:r w:rsidRPr="00FE47A0">
        <w:t>Alex Cobham and Andy Sumner, 2013b, ‘</w:t>
      </w:r>
      <w:hyperlink r:id="rId11" w:history="1">
        <w:r w:rsidRPr="00FE47A0">
          <w:rPr>
            <w:rStyle w:val="Hyperlink"/>
          </w:rPr>
          <w:t>Is It All About the Tails? The Palma Measure of Income Inequality</w:t>
        </w:r>
      </w:hyperlink>
      <w:r w:rsidRPr="00FE47A0">
        <w:t>‘, </w:t>
      </w:r>
      <w:r w:rsidRPr="00FE47A0">
        <w:rPr>
          <w:i/>
          <w:iCs/>
        </w:rPr>
        <w:t>CGD Working Paper,</w:t>
      </w:r>
      <w:r w:rsidRPr="00FE47A0">
        <w:t> Washington DC: Center for Global Development.</w:t>
      </w:r>
    </w:p>
    <w:p w14:paraId="602D7842" w14:textId="77777777" w:rsidR="00984073" w:rsidRDefault="00984073" w:rsidP="00984073">
      <w:pPr>
        <w:ind w:firstLine="720"/>
      </w:pPr>
      <w:r w:rsidRPr="00840AC2">
        <w:rPr>
          <w:rFonts w:ascii="Cambria" w:hAnsi="Cambria" w:cs="Cambria"/>
          <w:bCs/>
          <w:color w:val="000000"/>
        </w:rPr>
        <w:t>Cowell, F. A. (2000). Measurement of inequality. In A. B. Atkinson and F. Bourguignon</w:t>
      </w:r>
      <w:r>
        <w:rPr>
          <w:rFonts w:ascii="Cambria" w:hAnsi="Cambria" w:cs="Cambria"/>
          <w:bCs/>
          <w:color w:val="000000"/>
        </w:rPr>
        <w:t xml:space="preserve"> </w:t>
      </w:r>
      <w:r w:rsidRPr="00840AC2">
        <w:rPr>
          <w:rFonts w:ascii="Cambria" w:hAnsi="Cambria" w:cs="Cambria"/>
          <w:bCs/>
          <w:color w:val="000000"/>
        </w:rPr>
        <w:t xml:space="preserve">(Eds.), </w:t>
      </w:r>
      <w:r w:rsidRPr="00EB64DB">
        <w:rPr>
          <w:rFonts w:ascii="Cambria" w:hAnsi="Cambria" w:cs="Cambria"/>
          <w:bCs/>
          <w:i/>
          <w:color w:val="000000"/>
        </w:rPr>
        <w:t>Handbook of Income Distribution</w:t>
      </w:r>
      <w:r w:rsidRPr="00840AC2">
        <w:rPr>
          <w:rFonts w:ascii="Cambria" w:hAnsi="Cambria" w:cs="Cambria"/>
          <w:bCs/>
          <w:color w:val="000000"/>
        </w:rPr>
        <w:t>, Chapter 2, pp. 87-166. Amsterdam: North</w:t>
      </w:r>
      <w:r>
        <w:rPr>
          <w:rFonts w:ascii="Cambria" w:hAnsi="Cambria" w:cs="Cambria"/>
          <w:bCs/>
          <w:color w:val="000000"/>
        </w:rPr>
        <w:t xml:space="preserve"> </w:t>
      </w:r>
      <w:r w:rsidRPr="00840AC2">
        <w:rPr>
          <w:rFonts w:ascii="Cambria" w:hAnsi="Cambria" w:cs="Cambria"/>
          <w:bCs/>
          <w:color w:val="000000"/>
        </w:rPr>
        <w:t>Holland.</w:t>
      </w:r>
    </w:p>
    <w:p w14:paraId="4B6B5837" w14:textId="77777777" w:rsidR="00984073" w:rsidRDefault="00984073" w:rsidP="00984073">
      <w:pPr>
        <w:ind w:firstLine="720"/>
      </w:pPr>
      <w:r>
        <w:rPr>
          <w:rFonts w:ascii="Cambria" w:hAnsi="Cambria" w:cs="Cambria"/>
          <w:color w:val="000000"/>
        </w:rPr>
        <w:t xml:space="preserve">Finn, A., Leibbrandt, M., &amp; Levinsohn, J. (2014). </w:t>
      </w:r>
      <w:hyperlink r:id="rId12" w:history="1">
        <w:r>
          <w:rPr>
            <w:rFonts w:ascii="Cambria" w:hAnsi="Cambria" w:cs="Cambria"/>
            <w:color w:val="0000FF"/>
            <w:u w:val="single" w:color="0000FF"/>
          </w:rPr>
          <w:t>Income mobility in a high-inequality society: Evidence from the first two waves of the National Income Dynamics Study</w:t>
        </w:r>
      </w:hyperlink>
      <w:r>
        <w:rPr>
          <w:rFonts w:ascii="Cambria" w:hAnsi="Cambria" w:cs="Cambria"/>
          <w:color w:val="000000"/>
        </w:rPr>
        <w:t>. Development Southern Africa, 31(1), 16-30.</w:t>
      </w:r>
    </w:p>
    <w:p w14:paraId="70240075" w14:textId="77777777" w:rsidR="00984073" w:rsidRDefault="00984073" w:rsidP="00984073">
      <w:pPr>
        <w:ind w:firstLine="720"/>
        <w:rPr>
          <w:rFonts w:ascii="Cambria" w:hAnsi="Cambria" w:cs="Cambria"/>
          <w:color w:val="000000"/>
        </w:rPr>
      </w:pPr>
      <w:r>
        <w:rPr>
          <w:rFonts w:ascii="Cambria" w:hAnsi="Cambria" w:cs="Cambria"/>
          <w:color w:val="000000"/>
        </w:rPr>
        <w:t xml:space="preserve">Finn, A., &amp; Leibbrandt, M. 2013a. </w:t>
      </w:r>
      <w:hyperlink r:id="rId13" w:history="1">
        <w:r>
          <w:rPr>
            <w:rFonts w:ascii="Cambria" w:hAnsi="Cambria" w:cs="Cambria"/>
            <w:color w:val="0000FF"/>
            <w:u w:val="single" w:color="0000FF"/>
          </w:rPr>
          <w:t>Mobility and Inequality in the First Three Waves of NIDS</w:t>
        </w:r>
      </w:hyperlink>
      <w:r>
        <w:rPr>
          <w:rFonts w:ascii="Cambria" w:hAnsi="Cambria" w:cs="Cambria"/>
          <w:color w:val="000000"/>
        </w:rPr>
        <w:t xml:space="preserve">. SALDRU Working Paper no 120. </w:t>
      </w:r>
    </w:p>
    <w:p w14:paraId="30327779" w14:textId="77777777" w:rsidR="00984073" w:rsidRDefault="00984073" w:rsidP="00984073">
      <w:pPr>
        <w:ind w:firstLine="720"/>
        <w:rPr>
          <w:rFonts w:ascii="Cambria" w:hAnsi="Cambria" w:cs="Cambria"/>
          <w:color w:val="000000"/>
        </w:rPr>
      </w:pPr>
      <w:r>
        <w:rPr>
          <w:rFonts w:ascii="Cambria" w:hAnsi="Cambria" w:cs="Cambria"/>
          <w:color w:val="000000"/>
        </w:rPr>
        <w:t xml:space="preserve">Finn, A., &amp; Leibbrandt, M. 2013b. </w:t>
      </w:r>
      <w:hyperlink r:id="rId14" w:history="1">
        <w:r>
          <w:rPr>
            <w:rFonts w:ascii="Cambria" w:hAnsi="Cambria" w:cs="Cambria"/>
            <w:color w:val="0000FF"/>
            <w:u w:val="single" w:color="0000FF"/>
          </w:rPr>
          <w:t>The dynamics of poverty in the first three waves of NIDS</w:t>
        </w:r>
      </w:hyperlink>
      <w:r>
        <w:rPr>
          <w:rFonts w:ascii="Cambria" w:hAnsi="Cambria" w:cs="Cambria"/>
          <w:color w:val="000000"/>
        </w:rPr>
        <w:t>. SALDRU Working Paper No. 119.</w:t>
      </w:r>
    </w:p>
    <w:p w14:paraId="1B1E3740" w14:textId="77777777" w:rsidR="00984073" w:rsidRDefault="00984073" w:rsidP="00984073">
      <w:pPr>
        <w:ind w:firstLine="720"/>
        <w:rPr>
          <w:rFonts w:ascii="Cambria" w:hAnsi="Cambria" w:cs="Cambria"/>
          <w:color w:val="000000"/>
        </w:rPr>
      </w:pPr>
      <w:r>
        <w:rPr>
          <w:rFonts w:ascii="Cambria" w:hAnsi="Cambria" w:cs="Cambria"/>
          <w:color w:val="000000"/>
        </w:rPr>
        <w:t xml:space="preserve">Leibbrandt, M., &amp; Levinsohn, J. 2011. </w:t>
      </w:r>
      <w:hyperlink r:id="rId15" w:history="1">
        <w:r>
          <w:rPr>
            <w:rFonts w:ascii="Cambria" w:hAnsi="Cambria" w:cs="Cambria"/>
            <w:color w:val="0000FF"/>
            <w:u w:val="single" w:color="0000FF"/>
          </w:rPr>
          <w:t>Fifteen Years on: Household Incomes in South Africa</w:t>
        </w:r>
      </w:hyperlink>
      <w:r>
        <w:rPr>
          <w:rFonts w:ascii="Cambria" w:hAnsi="Cambria" w:cs="Cambria"/>
          <w:color w:val="000000"/>
        </w:rPr>
        <w:t>. NBER Working Paper, no. 16661.</w:t>
      </w:r>
    </w:p>
    <w:p w14:paraId="713A4101" w14:textId="77777777" w:rsidR="00984073" w:rsidRDefault="00984073" w:rsidP="00984073">
      <w:pPr>
        <w:ind w:firstLine="720"/>
        <w:rPr>
          <w:rFonts w:ascii="Cambria" w:hAnsi="Cambria" w:cs="Cambria"/>
          <w:color w:val="000000"/>
        </w:rPr>
      </w:pPr>
      <w:r>
        <w:rPr>
          <w:rFonts w:ascii="Cambria" w:hAnsi="Cambria" w:cs="Cambria"/>
          <w:color w:val="000000"/>
        </w:rPr>
        <w:t xml:space="preserve">Leibbrandt, M., Finn, A., Argent, J. &amp; Woolard, I. 2010. </w:t>
      </w:r>
      <w:hyperlink r:id="rId16" w:history="1">
        <w:r>
          <w:rPr>
            <w:rFonts w:ascii="Cambria" w:hAnsi="Cambria" w:cs="Cambria"/>
            <w:color w:val="0000FF"/>
            <w:u w:val="single" w:color="0000FF"/>
          </w:rPr>
          <w:t>Changes in income poverty over the post-apartheid period: an analysis on data from the 1993 Project for Statistics on Living Standard and Development and the 2008 base wave of the National Income Dynamics Study</w:t>
        </w:r>
      </w:hyperlink>
      <w:r>
        <w:rPr>
          <w:rFonts w:ascii="Cambria" w:hAnsi="Cambria" w:cs="Cambria"/>
          <w:color w:val="000000"/>
        </w:rPr>
        <w:t xml:space="preserve">. Studies in Economics and Econometrics. 34(3):25-43. </w:t>
      </w:r>
    </w:p>
    <w:p w14:paraId="62DCAA63" w14:textId="77777777" w:rsidR="00984073" w:rsidRDefault="00984073" w:rsidP="00984073">
      <w:pPr>
        <w:ind w:firstLine="720"/>
        <w:rPr>
          <w:rFonts w:ascii="Cambria" w:hAnsi="Cambria" w:cs="Cambria"/>
          <w:color w:val="000000"/>
        </w:rPr>
      </w:pPr>
      <w:r>
        <w:rPr>
          <w:rFonts w:ascii="Cambria" w:hAnsi="Cambria" w:cs="Cambria"/>
          <w:color w:val="000000"/>
        </w:rPr>
        <w:t xml:space="preserve">Leibbrandt, M., Woolard, I., Finn, A. &amp; Argent, J. 2010. Trends in South African income distribution and poverty since the fall of Apartheid. OECD Social, Employment and Migrations Working Paper, no. 101. </w:t>
      </w:r>
    </w:p>
    <w:p w14:paraId="46818EE0" w14:textId="77777777" w:rsidR="00984073" w:rsidRDefault="00984073" w:rsidP="00984073">
      <w:pPr>
        <w:ind w:firstLine="720"/>
        <w:rPr>
          <w:rFonts w:ascii="Cambria" w:hAnsi="Cambria" w:cs="Cambria"/>
          <w:color w:val="000000"/>
        </w:rPr>
      </w:pPr>
      <w:r w:rsidRPr="00840AC2">
        <w:rPr>
          <w:rFonts w:ascii="Cambria" w:hAnsi="Cambria" w:cs="Cambria"/>
          <w:color w:val="000000"/>
        </w:rPr>
        <w:t>Litchfield, J., 1999, ‘Inequality: Methods and tools’, World Bank</w:t>
      </w:r>
      <w:r>
        <w:rPr>
          <w:rFonts w:ascii="Cambria" w:hAnsi="Cambria" w:cs="Cambria"/>
          <w:color w:val="000000"/>
        </w:rPr>
        <w:t>.</w:t>
      </w:r>
    </w:p>
    <w:p w14:paraId="73530B54" w14:textId="77777777" w:rsidR="00984073" w:rsidRDefault="00984073" w:rsidP="00984073">
      <w:pPr>
        <w:ind w:firstLine="720"/>
        <w:rPr>
          <w:rFonts w:ascii="Cambria" w:hAnsi="Cambria" w:cs="Cambria"/>
          <w:color w:val="000000"/>
        </w:rPr>
      </w:pPr>
      <w:r>
        <w:rPr>
          <w:rFonts w:ascii="Cambria" w:hAnsi="Cambria" w:cs="Cambria"/>
          <w:color w:val="000000"/>
        </w:rPr>
        <w:t xml:space="preserve">Jansen, A., Moses, M., Mujuta, S., &amp; Yu, D. (2014). </w:t>
      </w:r>
      <w:hyperlink r:id="rId17" w:history="1">
        <w:r>
          <w:rPr>
            <w:rFonts w:ascii="Cambria" w:hAnsi="Cambria" w:cs="Cambria"/>
            <w:color w:val="0000FF"/>
            <w:u w:val="single" w:color="0000FF"/>
          </w:rPr>
          <w:t>Measurements and determinants of multifaceted poverty in South Africa</w:t>
        </w:r>
      </w:hyperlink>
      <w:r>
        <w:rPr>
          <w:rFonts w:ascii="Cambria" w:hAnsi="Cambria" w:cs="Cambria"/>
          <w:color w:val="000000"/>
        </w:rPr>
        <w:t xml:space="preserve">. </w:t>
      </w:r>
      <w:r>
        <w:rPr>
          <w:rFonts w:ascii="Cambria" w:hAnsi="Cambria" w:cs="Cambria"/>
          <w:i/>
          <w:iCs/>
          <w:color w:val="000000"/>
        </w:rPr>
        <w:t xml:space="preserve">Development Southern Africa, </w:t>
      </w:r>
      <w:r>
        <w:rPr>
          <w:rFonts w:ascii="Cambria" w:hAnsi="Cambria" w:cs="Cambria"/>
          <w:color w:val="000000"/>
        </w:rPr>
        <w:t>(ahead-of-print), 1-19.</w:t>
      </w:r>
    </w:p>
    <w:p w14:paraId="53E67B31" w14:textId="77777777" w:rsidR="00984073" w:rsidRDefault="00984073" w:rsidP="00984073">
      <w:pPr>
        <w:ind w:firstLine="720"/>
        <w:rPr>
          <w:rFonts w:ascii="Cambria" w:hAnsi="Cambria" w:cs="Cambria"/>
          <w:color w:val="000000"/>
        </w:rPr>
      </w:pPr>
      <w:r>
        <w:rPr>
          <w:rFonts w:ascii="Cambria" w:hAnsi="Cambria" w:cs="Cambria"/>
          <w:color w:val="000000"/>
        </w:rPr>
        <w:t xml:space="preserve">Leibbrandt, M., Finn, A. &amp; Woolard, I. 2012. </w:t>
      </w:r>
      <w:hyperlink r:id="rId18" w:history="1">
        <w:r>
          <w:rPr>
            <w:rFonts w:ascii="Cambria" w:hAnsi="Cambria" w:cs="Cambria"/>
            <w:color w:val="0000FF"/>
            <w:u w:val="single" w:color="0000FF"/>
          </w:rPr>
          <w:t>Describing and decomposing post-apartheid income inequality in South Africa</w:t>
        </w:r>
      </w:hyperlink>
      <w:r>
        <w:rPr>
          <w:rFonts w:ascii="Cambria" w:hAnsi="Cambria" w:cs="Cambria"/>
          <w:color w:val="000000"/>
        </w:rPr>
        <w:t>. Development Southern Africa. 29(1):19-34</w:t>
      </w:r>
    </w:p>
    <w:p w14:paraId="4C10F35F" w14:textId="77777777" w:rsidR="00984073" w:rsidRDefault="00984073" w:rsidP="00984073">
      <w:pPr>
        <w:ind w:firstLine="720"/>
        <w:rPr>
          <w:rFonts w:ascii="Cambria" w:hAnsi="Cambria" w:cs="Cambria"/>
          <w:color w:val="000000"/>
        </w:rPr>
      </w:pPr>
      <w:r>
        <w:rPr>
          <w:rFonts w:ascii="Cambria" w:hAnsi="Cambria" w:cs="Cambria"/>
          <w:color w:val="000000"/>
        </w:rPr>
        <w:lastRenderedPageBreak/>
        <w:t xml:space="preserve">McCormick Diduch, Amy, 2012, Using the Consumer Expenditure Survey to Teach Poverty Measurement, </w:t>
      </w:r>
      <w:r>
        <w:rPr>
          <w:rFonts w:ascii="Cambria" w:hAnsi="Cambria" w:cs="Cambria"/>
          <w:i/>
          <w:iCs/>
          <w:color w:val="000000"/>
        </w:rPr>
        <w:t>Journal of Economic Education</w:t>
      </w:r>
      <w:r>
        <w:rPr>
          <w:rFonts w:ascii="Cambria" w:hAnsi="Cambria" w:cs="Cambria"/>
          <w:color w:val="000000"/>
        </w:rPr>
        <w:t xml:space="preserve">, </w:t>
      </w:r>
      <w:r>
        <w:rPr>
          <w:rFonts w:ascii="Cambria" w:hAnsi="Cambria" w:cs="Cambria"/>
          <w:i/>
          <w:iCs/>
          <w:color w:val="000000"/>
        </w:rPr>
        <w:t>43</w:t>
      </w:r>
      <w:r>
        <w:rPr>
          <w:rFonts w:ascii="Cambria" w:hAnsi="Cambria" w:cs="Cambria"/>
          <w:color w:val="000000"/>
        </w:rPr>
        <w:t xml:space="preserve">(1), 99–106. </w:t>
      </w:r>
    </w:p>
    <w:p w14:paraId="03B4382C" w14:textId="075918CE" w:rsidR="00B40A53" w:rsidRDefault="00B40A53" w:rsidP="00B40A53">
      <w:pPr>
        <w:ind w:firstLine="720"/>
        <w:rPr>
          <w:rFonts w:ascii="Cambria" w:hAnsi="Cambria" w:cs="Cambria"/>
          <w:color w:val="000000"/>
        </w:rPr>
      </w:pPr>
      <w:r>
        <w:rPr>
          <w:rFonts w:ascii="Cambria" w:hAnsi="Cambria" w:cs="Cambria"/>
          <w:color w:val="000000"/>
        </w:rPr>
        <w:t xml:space="preserve">Palma, Gabriel, 2011, </w:t>
      </w:r>
      <w:r w:rsidRPr="00B40A53">
        <w:rPr>
          <w:rFonts w:ascii="Cambria" w:hAnsi="Cambria" w:cs="Cambria"/>
          <w:color w:val="000000"/>
        </w:rPr>
        <w:t xml:space="preserve">‘Homogeneous middles vs. heterogeneous tails, and the end of the ‘Inverted-U’: The share of the rich is what it’s all about’ Development and Change, 42, 1, 87-153 </w:t>
      </w:r>
    </w:p>
    <w:p w14:paraId="63BFA34A" w14:textId="30686C87" w:rsidR="002233FE" w:rsidRPr="002233FE" w:rsidRDefault="002233FE" w:rsidP="002233FE">
      <w:pPr>
        <w:ind w:firstLine="720"/>
        <w:rPr>
          <w:rFonts w:ascii="Cambria" w:hAnsi="Cambria" w:cs="Cambria"/>
          <w:color w:val="000000"/>
        </w:rPr>
      </w:pPr>
      <w:r w:rsidRPr="002233FE">
        <w:rPr>
          <w:rFonts w:ascii="Cambria" w:hAnsi="Cambria" w:cs="Cambria"/>
          <w:color w:val="000000"/>
        </w:rPr>
        <w:t>P</w:t>
      </w:r>
      <w:r>
        <w:rPr>
          <w:rFonts w:ascii="Cambria" w:hAnsi="Cambria" w:cs="Cambria"/>
          <w:color w:val="000000"/>
        </w:rPr>
        <w:t xml:space="preserve">yatt, G., Chen, C.-N., Fei, J., </w:t>
      </w:r>
      <w:r w:rsidRPr="002233FE">
        <w:rPr>
          <w:rFonts w:ascii="Cambria" w:hAnsi="Cambria" w:cs="Cambria"/>
          <w:color w:val="000000"/>
        </w:rPr>
        <w:t>1980</w:t>
      </w:r>
      <w:r>
        <w:rPr>
          <w:rFonts w:ascii="Cambria" w:hAnsi="Cambria" w:cs="Cambria"/>
          <w:color w:val="000000"/>
        </w:rPr>
        <w:t>,</w:t>
      </w:r>
      <w:r w:rsidRPr="002233FE">
        <w:rPr>
          <w:rFonts w:ascii="Cambria" w:hAnsi="Cambria" w:cs="Cambria"/>
          <w:color w:val="000000"/>
        </w:rPr>
        <w:t xml:space="preserve"> The Distribution of Income by Factor Components. </w:t>
      </w:r>
      <w:r w:rsidRPr="002233FE">
        <w:rPr>
          <w:rFonts w:ascii="Cambria" w:hAnsi="Cambria" w:cs="Cambria"/>
          <w:i/>
          <w:iCs/>
          <w:color w:val="000000"/>
        </w:rPr>
        <w:t>Quarterly Journal of Economics</w:t>
      </w:r>
      <w:r w:rsidRPr="002233FE">
        <w:rPr>
          <w:rFonts w:ascii="Cambria" w:hAnsi="Cambria" w:cs="Cambria"/>
          <w:color w:val="000000"/>
        </w:rPr>
        <w:t xml:space="preserve">, November, 451-73. </w:t>
      </w:r>
    </w:p>
    <w:p w14:paraId="415564EB" w14:textId="30C4D440" w:rsidR="00984073" w:rsidRDefault="00984073" w:rsidP="00984073">
      <w:pPr>
        <w:ind w:firstLine="720"/>
        <w:rPr>
          <w:rFonts w:ascii="Cambria" w:hAnsi="Cambria" w:cs="Cambria"/>
          <w:color w:val="000000"/>
        </w:rPr>
      </w:pPr>
      <w:r>
        <w:rPr>
          <w:rFonts w:ascii="Cambria" w:hAnsi="Cambria" w:cs="Cambria"/>
          <w:color w:val="000000"/>
        </w:rPr>
        <w:t>Southern Africa Labour and Development Research Unit. National Income Dynamics Study 2008, Wave 1 [dataset]. Version 5.3. Cape Town: Southern Africa Labour and Development Research Unit [producer], 2015. Cape Tow</w:t>
      </w:r>
      <w:r w:rsidR="002233FE">
        <w:rPr>
          <w:rFonts w:ascii="Cambria" w:hAnsi="Cambria" w:cs="Cambria"/>
          <w:color w:val="000000"/>
        </w:rPr>
        <w:t>n: DataFirst [distributor].</w:t>
      </w:r>
    </w:p>
    <w:p w14:paraId="040D6A4F" w14:textId="77777777" w:rsidR="00984073" w:rsidRDefault="00984073" w:rsidP="00984073">
      <w:pPr>
        <w:ind w:firstLine="720"/>
        <w:rPr>
          <w:rFonts w:ascii="Cambria" w:hAnsi="Cambria" w:cs="Cambria"/>
          <w:color w:val="000000"/>
        </w:rPr>
      </w:pPr>
      <w:r>
        <w:rPr>
          <w:rFonts w:ascii="Cambria" w:hAnsi="Cambria" w:cs="Cambria"/>
          <w:color w:val="000000"/>
        </w:rPr>
        <w:t xml:space="preserve">Singh, Prakarsh and Alexa Russo, 2013, A Dream Experiment in Development Economics, </w:t>
      </w:r>
      <w:r>
        <w:rPr>
          <w:rFonts w:ascii="Cambria" w:hAnsi="Cambria" w:cs="Cambria"/>
          <w:i/>
          <w:iCs/>
          <w:color w:val="000000"/>
        </w:rPr>
        <w:t>Journal of Economic Education</w:t>
      </w:r>
      <w:r>
        <w:rPr>
          <w:rFonts w:ascii="Cambria" w:hAnsi="Cambria" w:cs="Cambria"/>
          <w:color w:val="000000"/>
        </w:rPr>
        <w:t xml:space="preserve">, 44(2), 158-168. </w:t>
      </w:r>
    </w:p>
    <w:p w14:paraId="441002D6" w14:textId="55B40599" w:rsidR="00984073" w:rsidRPr="0003791C" w:rsidRDefault="0003791C" w:rsidP="00984073">
      <w:r>
        <w:rPr>
          <w:rFonts w:ascii="Cambria" w:hAnsi="Cambria" w:cs="Cambria"/>
          <w:color w:val="000000"/>
        </w:rPr>
        <w:tab/>
        <w:t xml:space="preserve">Taylor, J. Edward and Travis J. Lybbert, 2015, </w:t>
      </w:r>
      <w:r>
        <w:rPr>
          <w:rFonts w:ascii="Cambria" w:hAnsi="Cambria" w:cs="Cambria"/>
          <w:i/>
          <w:color w:val="000000"/>
        </w:rPr>
        <w:t xml:space="preserve">Essentials of Development Economics, </w:t>
      </w:r>
      <w:r>
        <w:rPr>
          <w:rFonts w:ascii="Cambria" w:hAnsi="Cambria" w:cs="Cambria"/>
          <w:color w:val="000000"/>
        </w:rPr>
        <w:t>2</w:t>
      </w:r>
      <w:r w:rsidRPr="0003791C">
        <w:rPr>
          <w:rFonts w:ascii="Cambria" w:hAnsi="Cambria" w:cs="Cambria"/>
          <w:color w:val="000000"/>
          <w:vertAlign w:val="superscript"/>
        </w:rPr>
        <w:t>nd</w:t>
      </w:r>
      <w:r>
        <w:rPr>
          <w:rFonts w:ascii="Cambria" w:hAnsi="Cambria" w:cs="Cambria"/>
          <w:color w:val="000000"/>
        </w:rPr>
        <w:t xml:space="preserve"> Edition, U. California Press. </w:t>
      </w:r>
    </w:p>
    <w:sectPr w:rsidR="00984073" w:rsidRPr="0003791C" w:rsidSect="00C22CD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24A4E" w14:textId="77777777" w:rsidR="00FF4990" w:rsidRDefault="00FF4990" w:rsidP="00984073">
      <w:r>
        <w:separator/>
      </w:r>
    </w:p>
  </w:endnote>
  <w:endnote w:type="continuationSeparator" w:id="0">
    <w:p w14:paraId="6516E3D0" w14:textId="77777777" w:rsidR="00FF4990" w:rsidRDefault="00FF4990" w:rsidP="0098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AB553" w14:textId="77777777" w:rsidR="00FF4990" w:rsidRDefault="00FF4990" w:rsidP="00984073">
      <w:r>
        <w:separator/>
      </w:r>
    </w:p>
  </w:footnote>
  <w:footnote w:type="continuationSeparator" w:id="0">
    <w:p w14:paraId="1964EA9A" w14:textId="77777777" w:rsidR="00FF4990" w:rsidRDefault="00FF4990" w:rsidP="00984073">
      <w:r>
        <w:continuationSeparator/>
      </w:r>
    </w:p>
  </w:footnote>
  <w:footnote w:id="1">
    <w:p w14:paraId="282A1216" w14:textId="0F8C3A8C" w:rsidR="00AD053C" w:rsidRDefault="00AD053C">
      <w:pPr>
        <w:pStyle w:val="FootnoteText"/>
      </w:pPr>
      <w:r w:rsidRPr="00BC3AA2">
        <w:rPr>
          <w:rStyle w:val="FootnoteReference"/>
          <w:sz w:val="20"/>
        </w:rPr>
        <w:footnoteRef/>
      </w:r>
      <w:r w:rsidRPr="00BC3AA2">
        <w:rPr>
          <w:sz w:val="20"/>
        </w:rPr>
        <w:t xml:space="preserve"> Smith College, Department of Economics, 107 Pierce Hall, 21 West St. Northampton, MA, 01062, USA. </w:t>
      </w:r>
      <w:hyperlink r:id="rId1" w:history="1">
        <w:r w:rsidRPr="00BC3AA2">
          <w:rPr>
            <w:rStyle w:val="Hyperlink"/>
            <w:sz w:val="20"/>
          </w:rPr>
          <w:t>shalliday@smith.edu</w:t>
        </w:r>
      </w:hyperlink>
      <w:r w:rsidRPr="00BC3AA2">
        <w:rPr>
          <w:sz w:val="20"/>
        </w:rPr>
        <w:t xml:space="preserve">. +1413-585-3529. </w:t>
      </w:r>
    </w:p>
  </w:footnote>
  <w:footnote w:id="2">
    <w:p w14:paraId="0A8ED12F" w14:textId="77777777" w:rsidR="00AD053C" w:rsidRPr="008767A6" w:rsidRDefault="00AD053C" w:rsidP="00984073">
      <w:pPr>
        <w:pStyle w:val="FootnoteText"/>
        <w:rPr>
          <w:sz w:val="20"/>
          <w:szCs w:val="20"/>
        </w:rPr>
      </w:pPr>
      <w:r w:rsidRPr="008767A6">
        <w:rPr>
          <w:rStyle w:val="FootnoteReference"/>
          <w:sz w:val="20"/>
          <w:szCs w:val="20"/>
        </w:rPr>
        <w:footnoteRef/>
      </w:r>
      <w:r w:rsidRPr="008767A6">
        <w:rPr>
          <w:sz w:val="20"/>
          <w:szCs w:val="20"/>
        </w:rPr>
        <w:t xml:space="preserve"> Five axioms for inequality measurement are considered important in the literature: 1) The Pigou-Dalton transfer principle, 2) income scale independence, 3) Dalton’s principle of population, 4) anonymity or symmetry, and 5) decomposability. See Cowell (2000) and Litchfield (1999). </w:t>
      </w:r>
    </w:p>
  </w:footnote>
  <w:footnote w:id="3">
    <w:p w14:paraId="23FBA722" w14:textId="70B186D0" w:rsidR="00AD053C" w:rsidRPr="008767A6" w:rsidRDefault="00AD053C" w:rsidP="00984073">
      <w:pPr>
        <w:pStyle w:val="FootnoteText"/>
        <w:rPr>
          <w:sz w:val="20"/>
          <w:szCs w:val="20"/>
        </w:rPr>
      </w:pPr>
      <w:r w:rsidRPr="008767A6">
        <w:rPr>
          <w:rStyle w:val="FootnoteReference"/>
          <w:sz w:val="20"/>
          <w:szCs w:val="20"/>
        </w:rPr>
        <w:footnoteRef/>
      </w:r>
      <w:r w:rsidRPr="008767A6">
        <w:rPr>
          <w:sz w:val="20"/>
          <w:szCs w:val="20"/>
        </w:rPr>
        <w:t xml:space="preserve"> See Palma (2011) and Cobham and Sumner (2013a, b) for a fuller explanation as to why the Gini </w:t>
      </w:r>
      <w:r>
        <w:rPr>
          <w:sz w:val="20"/>
          <w:szCs w:val="20"/>
        </w:rPr>
        <w:t>index</w:t>
      </w:r>
      <w:r w:rsidRPr="008767A6">
        <w:rPr>
          <w:sz w:val="20"/>
          <w:szCs w:val="20"/>
        </w:rPr>
        <w:t xml:space="preserve"> is insensitive to changes in the tails of the income distribution: the basic intuition is that substantial weight is given to deciles 2 through 5 of the income distribution and the tails are not given substantial weight in the Gini as each part of the distribution is equally weighted. This characteristic of the Gini is likely to be axiomatically true (Shorrocks, 1980). </w:t>
      </w:r>
    </w:p>
  </w:footnote>
  <w:footnote w:id="4">
    <w:p w14:paraId="08477987" w14:textId="7E62502B" w:rsidR="00AD053C" w:rsidRPr="008767A6" w:rsidRDefault="00AD053C" w:rsidP="00984073">
      <w:pPr>
        <w:pStyle w:val="FootnoteText"/>
        <w:rPr>
          <w:sz w:val="20"/>
          <w:szCs w:val="20"/>
        </w:rPr>
      </w:pPr>
      <w:r w:rsidRPr="008767A6">
        <w:rPr>
          <w:rStyle w:val="FootnoteReference"/>
          <w:sz w:val="20"/>
          <w:szCs w:val="20"/>
        </w:rPr>
        <w:footnoteRef/>
      </w:r>
      <w:r>
        <w:rPr>
          <w:sz w:val="20"/>
          <w:szCs w:val="20"/>
        </w:rPr>
        <w:t xml:space="preserve"> Taylor and Lybbert (2015</w:t>
      </w:r>
      <w:r w:rsidRPr="008767A6">
        <w:rPr>
          <w:sz w:val="20"/>
          <w:szCs w:val="20"/>
        </w:rPr>
        <w:t xml:space="preserve">) include the Mexico Rural Household Survey in their supporting material for their textbook, </w:t>
      </w:r>
      <w:r w:rsidRPr="008767A6">
        <w:rPr>
          <w:i/>
          <w:sz w:val="20"/>
          <w:szCs w:val="20"/>
        </w:rPr>
        <w:t>Essentials of Development Economics</w:t>
      </w:r>
      <w:r w:rsidRPr="008767A6">
        <w:rPr>
          <w:sz w:val="20"/>
          <w:szCs w:val="20"/>
        </w:rPr>
        <w:t xml:space="preserve">, along with some exercises similar to those I ask students to perform with these data. However, my exercises are grounded in initial exercises in-class as presented earlier, along with additional questions and ideas that Taylor and Lybbert do not include. </w:t>
      </w:r>
    </w:p>
  </w:footnote>
  <w:footnote w:id="5">
    <w:p w14:paraId="390DF008" w14:textId="77777777" w:rsidR="00AD053C" w:rsidRPr="008767A6" w:rsidRDefault="00AD053C" w:rsidP="00984073">
      <w:pPr>
        <w:pStyle w:val="FootnoteText"/>
        <w:rPr>
          <w:sz w:val="20"/>
          <w:szCs w:val="20"/>
        </w:rPr>
      </w:pPr>
      <w:r w:rsidRPr="008767A6">
        <w:rPr>
          <w:rStyle w:val="FootnoteReference"/>
          <w:sz w:val="20"/>
          <w:szCs w:val="20"/>
        </w:rPr>
        <w:footnoteRef/>
      </w:r>
      <w:r w:rsidRPr="008767A6">
        <w:rPr>
          <w:sz w:val="20"/>
          <w:szCs w:val="20"/>
        </w:rPr>
        <w:t xml:space="preserve"> A variety of work has used the NIDS to understand South African poverty. See Leibbrandt, Woo</w:t>
      </w:r>
      <w:r>
        <w:rPr>
          <w:sz w:val="20"/>
          <w:szCs w:val="20"/>
        </w:rPr>
        <w:t>lard, Finn and Argent (2010), L</w:t>
      </w:r>
      <w:r w:rsidRPr="008767A6">
        <w:rPr>
          <w:sz w:val="20"/>
          <w:szCs w:val="20"/>
        </w:rPr>
        <w:t>e</w:t>
      </w:r>
      <w:r>
        <w:rPr>
          <w:sz w:val="20"/>
          <w:szCs w:val="20"/>
        </w:rPr>
        <w:t>i</w:t>
      </w:r>
      <w:r w:rsidRPr="008767A6">
        <w:rPr>
          <w:sz w:val="20"/>
          <w:szCs w:val="20"/>
        </w:rPr>
        <w:t xml:space="preserve">bbrandt and Levinsohn (2011), Finn and Leibbrandt (2013b), and Jansen, Moses, Mujuta and Yu (2014). </w:t>
      </w:r>
    </w:p>
  </w:footnote>
  <w:footnote w:id="6">
    <w:p w14:paraId="66BE4164" w14:textId="17A8B537" w:rsidR="00AD053C" w:rsidRPr="008767A6" w:rsidRDefault="00AD053C" w:rsidP="00984073">
      <w:pPr>
        <w:pStyle w:val="FootnoteText"/>
        <w:rPr>
          <w:sz w:val="20"/>
          <w:szCs w:val="20"/>
        </w:rPr>
      </w:pPr>
      <w:r w:rsidRPr="008767A6">
        <w:rPr>
          <w:rStyle w:val="FootnoteReference"/>
          <w:sz w:val="20"/>
          <w:szCs w:val="20"/>
        </w:rPr>
        <w:footnoteRef/>
      </w:r>
      <w:r w:rsidRPr="008767A6">
        <w:rPr>
          <w:sz w:val="20"/>
          <w:szCs w:val="20"/>
        </w:rPr>
        <w:t xml:space="preserve"> Because each row </w:t>
      </w:r>
      <w:r>
        <w:rPr>
          <w:sz w:val="20"/>
          <w:szCs w:val="20"/>
        </w:rPr>
        <w:t xml:space="preserve">corresponds to a household and we cannot easily manipulate this to create an individual-level dataset, we can only compute a household income-based Gini index. Though this is unfortunate from the perspective of consistency, in terms of pedagogy and learning outcomes the main concern is for students to think through what is required to find a Gini index and what the unit of observation implies about what gets computed </w:t>
      </w:r>
    </w:p>
  </w:footnote>
  <w:footnote w:id="7">
    <w:p w14:paraId="2BDF750B" w14:textId="38CE9A93" w:rsidR="00AD053C" w:rsidRPr="008767A6" w:rsidRDefault="00AD053C" w:rsidP="00984073">
      <w:pPr>
        <w:pStyle w:val="FootnoteText"/>
        <w:rPr>
          <w:sz w:val="20"/>
          <w:szCs w:val="20"/>
        </w:rPr>
      </w:pPr>
      <w:r w:rsidRPr="008767A6">
        <w:rPr>
          <w:rStyle w:val="FootnoteReference"/>
          <w:sz w:val="20"/>
          <w:szCs w:val="20"/>
        </w:rPr>
        <w:footnoteRef/>
      </w:r>
      <w:r w:rsidRPr="008767A6">
        <w:rPr>
          <w:sz w:val="20"/>
          <w:szCs w:val="20"/>
        </w:rPr>
        <w:t xml:space="preserve"> As with poverty, several authors have used the NIDS to examine inequality in South Africa, such as Leibbrandt, Finn and Woolard (2012), Finn and Leibbrandt (2013a), and Finn, Leibbrandt, and Levinsohn (2014). </w:t>
      </w:r>
      <w:r>
        <w:rPr>
          <w:sz w:val="20"/>
          <w:szCs w:val="20"/>
        </w:rPr>
        <w:t xml:space="preserve">Admittedly, the measures should be weighted by their survey weights, but such a discussion is beyond the ambit of the course I teach.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7019D9"/>
    <w:multiLevelType w:val="hybridMultilevel"/>
    <w:tmpl w:val="95229D2C"/>
    <w:lvl w:ilvl="0" w:tplc="46C8C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A1A9A"/>
    <w:multiLevelType w:val="multilevel"/>
    <w:tmpl w:val="D70ED42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40438E"/>
    <w:multiLevelType w:val="hybridMultilevel"/>
    <w:tmpl w:val="C798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44786"/>
    <w:multiLevelType w:val="hybridMultilevel"/>
    <w:tmpl w:val="2F2AE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F2AE5"/>
    <w:multiLevelType w:val="hybridMultilevel"/>
    <w:tmpl w:val="96FCBEE6"/>
    <w:lvl w:ilvl="0" w:tplc="46C8C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A44"/>
    <w:multiLevelType w:val="hybridMultilevel"/>
    <w:tmpl w:val="21C4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E0845"/>
    <w:multiLevelType w:val="hybridMultilevel"/>
    <w:tmpl w:val="03985344"/>
    <w:lvl w:ilvl="0" w:tplc="46C8C4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B612A"/>
    <w:multiLevelType w:val="hybridMultilevel"/>
    <w:tmpl w:val="A0F458B4"/>
    <w:lvl w:ilvl="0" w:tplc="9E00D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44074"/>
    <w:multiLevelType w:val="multilevel"/>
    <w:tmpl w:val="21C49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2A633D"/>
    <w:multiLevelType w:val="hybridMultilevel"/>
    <w:tmpl w:val="CE66C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563C7"/>
    <w:multiLevelType w:val="hybridMultilevel"/>
    <w:tmpl w:val="371E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C3F4F"/>
    <w:multiLevelType w:val="hybridMultilevel"/>
    <w:tmpl w:val="ED603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A6553"/>
    <w:multiLevelType w:val="hybridMultilevel"/>
    <w:tmpl w:val="D70ED42A"/>
    <w:lvl w:ilvl="0" w:tplc="939EB2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C0753"/>
    <w:multiLevelType w:val="hybridMultilevel"/>
    <w:tmpl w:val="5A20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E66F3"/>
    <w:multiLevelType w:val="multilevel"/>
    <w:tmpl w:val="96FCBEE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E275A2"/>
    <w:multiLevelType w:val="hybridMultilevel"/>
    <w:tmpl w:val="4552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F18B5"/>
    <w:multiLevelType w:val="hybridMultilevel"/>
    <w:tmpl w:val="31AA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7"/>
  </w:num>
  <w:num w:numId="7">
    <w:abstractNumId w:val="19"/>
  </w:num>
  <w:num w:numId="8">
    <w:abstractNumId w:val="14"/>
  </w:num>
  <w:num w:numId="9">
    <w:abstractNumId w:val="6"/>
  </w:num>
  <w:num w:numId="10">
    <w:abstractNumId w:val="13"/>
  </w:num>
  <w:num w:numId="11">
    <w:abstractNumId w:val="15"/>
  </w:num>
  <w:num w:numId="12">
    <w:abstractNumId w:val="17"/>
  </w:num>
  <w:num w:numId="13">
    <w:abstractNumId w:val="9"/>
  </w:num>
  <w:num w:numId="14">
    <w:abstractNumId w:val="12"/>
  </w:num>
  <w:num w:numId="15">
    <w:abstractNumId w:val="16"/>
  </w:num>
  <w:num w:numId="16">
    <w:abstractNumId w:val="5"/>
  </w:num>
  <w:num w:numId="17">
    <w:abstractNumId w:val="10"/>
  </w:num>
  <w:num w:numId="18">
    <w:abstractNumId w:val="4"/>
  </w:num>
  <w:num w:numId="19">
    <w:abstractNumId w:val="8"/>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73"/>
    <w:rsid w:val="00016753"/>
    <w:rsid w:val="0003791C"/>
    <w:rsid w:val="000474E5"/>
    <w:rsid w:val="000617F2"/>
    <w:rsid w:val="00062DB6"/>
    <w:rsid w:val="00065214"/>
    <w:rsid w:val="000A51D6"/>
    <w:rsid w:val="000E01C5"/>
    <w:rsid w:val="000E486D"/>
    <w:rsid w:val="000F36DD"/>
    <w:rsid w:val="001158B1"/>
    <w:rsid w:val="00124273"/>
    <w:rsid w:val="00143C82"/>
    <w:rsid w:val="00145386"/>
    <w:rsid w:val="0016132F"/>
    <w:rsid w:val="00177B8A"/>
    <w:rsid w:val="00182244"/>
    <w:rsid w:val="001B2C15"/>
    <w:rsid w:val="001C3861"/>
    <w:rsid w:val="001C6461"/>
    <w:rsid w:val="001D138F"/>
    <w:rsid w:val="00211A43"/>
    <w:rsid w:val="002153F2"/>
    <w:rsid w:val="002233FE"/>
    <w:rsid w:val="00235ACA"/>
    <w:rsid w:val="0024018B"/>
    <w:rsid w:val="00291170"/>
    <w:rsid w:val="002C4AFE"/>
    <w:rsid w:val="003229DA"/>
    <w:rsid w:val="00350F80"/>
    <w:rsid w:val="003D2EB5"/>
    <w:rsid w:val="003F0A23"/>
    <w:rsid w:val="004002E5"/>
    <w:rsid w:val="00433839"/>
    <w:rsid w:val="00442F18"/>
    <w:rsid w:val="0044448F"/>
    <w:rsid w:val="0050727F"/>
    <w:rsid w:val="00545E93"/>
    <w:rsid w:val="005614F6"/>
    <w:rsid w:val="005A331B"/>
    <w:rsid w:val="00600713"/>
    <w:rsid w:val="00610E1F"/>
    <w:rsid w:val="0064561F"/>
    <w:rsid w:val="00676EF8"/>
    <w:rsid w:val="00681720"/>
    <w:rsid w:val="006A2577"/>
    <w:rsid w:val="006A2D3C"/>
    <w:rsid w:val="006A3ED9"/>
    <w:rsid w:val="006A6D5C"/>
    <w:rsid w:val="006A6DAC"/>
    <w:rsid w:val="0078331F"/>
    <w:rsid w:val="00810760"/>
    <w:rsid w:val="008231DA"/>
    <w:rsid w:val="0082607E"/>
    <w:rsid w:val="008665D0"/>
    <w:rsid w:val="00891DB7"/>
    <w:rsid w:val="008C7BF3"/>
    <w:rsid w:val="00917415"/>
    <w:rsid w:val="00950913"/>
    <w:rsid w:val="009534D6"/>
    <w:rsid w:val="00963391"/>
    <w:rsid w:val="00984073"/>
    <w:rsid w:val="009A54C5"/>
    <w:rsid w:val="009B0E5D"/>
    <w:rsid w:val="009D6A24"/>
    <w:rsid w:val="009F2174"/>
    <w:rsid w:val="00A210CA"/>
    <w:rsid w:val="00A30706"/>
    <w:rsid w:val="00A4773A"/>
    <w:rsid w:val="00A7275B"/>
    <w:rsid w:val="00AD053C"/>
    <w:rsid w:val="00AD0B47"/>
    <w:rsid w:val="00AD2755"/>
    <w:rsid w:val="00AE1F9B"/>
    <w:rsid w:val="00AE71F1"/>
    <w:rsid w:val="00B32E2D"/>
    <w:rsid w:val="00B40A53"/>
    <w:rsid w:val="00B47F8B"/>
    <w:rsid w:val="00B862C2"/>
    <w:rsid w:val="00BA7D87"/>
    <w:rsid w:val="00BC0D25"/>
    <w:rsid w:val="00BC3AA2"/>
    <w:rsid w:val="00BF494F"/>
    <w:rsid w:val="00C22CD5"/>
    <w:rsid w:val="00C33685"/>
    <w:rsid w:val="00C35766"/>
    <w:rsid w:val="00C35B20"/>
    <w:rsid w:val="00C521C9"/>
    <w:rsid w:val="00C80398"/>
    <w:rsid w:val="00CE26A6"/>
    <w:rsid w:val="00D13425"/>
    <w:rsid w:val="00D2726C"/>
    <w:rsid w:val="00D3032D"/>
    <w:rsid w:val="00DC6FFA"/>
    <w:rsid w:val="00DD6E59"/>
    <w:rsid w:val="00E456DA"/>
    <w:rsid w:val="00E610C8"/>
    <w:rsid w:val="00E85336"/>
    <w:rsid w:val="00EA49AC"/>
    <w:rsid w:val="00EB3367"/>
    <w:rsid w:val="00EC473E"/>
    <w:rsid w:val="00EC6C4D"/>
    <w:rsid w:val="00F150CD"/>
    <w:rsid w:val="00F16E21"/>
    <w:rsid w:val="00F543E2"/>
    <w:rsid w:val="00F633B8"/>
    <w:rsid w:val="00F82313"/>
    <w:rsid w:val="00FA181C"/>
    <w:rsid w:val="00FA6664"/>
    <w:rsid w:val="00FD3F43"/>
    <w:rsid w:val="00FF49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8E883"/>
  <w15:docId w15:val="{536FC057-9ED5-4E38-8B86-D56338E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73"/>
  </w:style>
  <w:style w:type="paragraph" w:styleId="Heading1">
    <w:name w:val="heading 1"/>
    <w:basedOn w:val="Normal"/>
    <w:next w:val="Normal"/>
    <w:link w:val="Heading1Char"/>
    <w:uiPriority w:val="9"/>
    <w:qFormat/>
    <w:rsid w:val="009840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40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0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84073"/>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984073"/>
    <w:rPr>
      <w:color w:val="808080"/>
    </w:rPr>
  </w:style>
  <w:style w:type="paragraph" w:styleId="BalloonText">
    <w:name w:val="Balloon Text"/>
    <w:basedOn w:val="Normal"/>
    <w:link w:val="BalloonTextChar"/>
    <w:uiPriority w:val="99"/>
    <w:semiHidden/>
    <w:unhideWhenUsed/>
    <w:rsid w:val="00984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073"/>
    <w:rPr>
      <w:rFonts w:ascii="Lucida Grande" w:hAnsi="Lucida Grande" w:cs="Lucida Grande"/>
      <w:sz w:val="18"/>
      <w:szCs w:val="18"/>
    </w:rPr>
  </w:style>
  <w:style w:type="paragraph" w:styleId="ListParagraph">
    <w:name w:val="List Paragraph"/>
    <w:basedOn w:val="Normal"/>
    <w:uiPriority w:val="34"/>
    <w:qFormat/>
    <w:rsid w:val="00984073"/>
    <w:pPr>
      <w:ind w:left="720"/>
      <w:contextualSpacing/>
    </w:pPr>
  </w:style>
  <w:style w:type="paragraph" w:styleId="Header">
    <w:name w:val="header"/>
    <w:basedOn w:val="Normal"/>
    <w:link w:val="HeaderChar"/>
    <w:uiPriority w:val="99"/>
    <w:unhideWhenUsed/>
    <w:rsid w:val="00984073"/>
    <w:pPr>
      <w:tabs>
        <w:tab w:val="center" w:pos="4320"/>
        <w:tab w:val="right" w:pos="8640"/>
      </w:tabs>
    </w:pPr>
  </w:style>
  <w:style w:type="character" w:customStyle="1" w:styleId="HeaderChar">
    <w:name w:val="Header Char"/>
    <w:basedOn w:val="DefaultParagraphFont"/>
    <w:link w:val="Header"/>
    <w:uiPriority w:val="99"/>
    <w:rsid w:val="00984073"/>
  </w:style>
  <w:style w:type="paragraph" w:styleId="Footer">
    <w:name w:val="footer"/>
    <w:basedOn w:val="Normal"/>
    <w:link w:val="FooterChar"/>
    <w:uiPriority w:val="99"/>
    <w:unhideWhenUsed/>
    <w:rsid w:val="00984073"/>
    <w:pPr>
      <w:tabs>
        <w:tab w:val="center" w:pos="4320"/>
        <w:tab w:val="right" w:pos="8640"/>
      </w:tabs>
    </w:pPr>
  </w:style>
  <w:style w:type="character" w:customStyle="1" w:styleId="FooterChar">
    <w:name w:val="Footer Char"/>
    <w:basedOn w:val="DefaultParagraphFont"/>
    <w:link w:val="Footer"/>
    <w:uiPriority w:val="99"/>
    <w:rsid w:val="00984073"/>
  </w:style>
  <w:style w:type="table" w:styleId="TableGrid">
    <w:name w:val="Table Grid"/>
    <w:basedOn w:val="TableNormal"/>
    <w:uiPriority w:val="59"/>
    <w:rsid w:val="0098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4073"/>
    <w:pPr>
      <w:spacing w:after="200"/>
    </w:pPr>
    <w:rPr>
      <w:b/>
      <w:bCs/>
      <w:color w:val="4F81BD" w:themeColor="accent1"/>
      <w:sz w:val="18"/>
      <w:szCs w:val="18"/>
    </w:rPr>
  </w:style>
  <w:style w:type="paragraph" w:styleId="Title">
    <w:name w:val="Title"/>
    <w:basedOn w:val="Normal"/>
    <w:next w:val="Normal"/>
    <w:link w:val="TitleChar"/>
    <w:uiPriority w:val="10"/>
    <w:qFormat/>
    <w:rsid w:val="009840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0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40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84073"/>
    <w:rPr>
      <w:rFonts w:asciiTheme="majorHAnsi" w:eastAsiaTheme="majorEastAsia" w:hAnsiTheme="majorHAnsi" w:cstheme="majorBidi"/>
      <w:i/>
      <w:iCs/>
      <w:color w:val="4F81BD" w:themeColor="accent1"/>
      <w:spacing w:val="15"/>
    </w:rPr>
  </w:style>
  <w:style w:type="paragraph" w:styleId="FootnoteText">
    <w:name w:val="footnote text"/>
    <w:basedOn w:val="Normal"/>
    <w:link w:val="FootnoteTextChar"/>
    <w:uiPriority w:val="99"/>
    <w:unhideWhenUsed/>
    <w:rsid w:val="00984073"/>
  </w:style>
  <w:style w:type="character" w:customStyle="1" w:styleId="FootnoteTextChar">
    <w:name w:val="Footnote Text Char"/>
    <w:basedOn w:val="DefaultParagraphFont"/>
    <w:link w:val="FootnoteText"/>
    <w:uiPriority w:val="99"/>
    <w:rsid w:val="00984073"/>
  </w:style>
  <w:style w:type="character" w:styleId="FootnoteReference">
    <w:name w:val="footnote reference"/>
    <w:basedOn w:val="DefaultParagraphFont"/>
    <w:uiPriority w:val="99"/>
    <w:unhideWhenUsed/>
    <w:rsid w:val="00984073"/>
    <w:rPr>
      <w:vertAlign w:val="superscript"/>
    </w:rPr>
  </w:style>
  <w:style w:type="character" w:styleId="Hyperlink">
    <w:name w:val="Hyperlink"/>
    <w:basedOn w:val="DefaultParagraphFont"/>
    <w:uiPriority w:val="99"/>
    <w:unhideWhenUsed/>
    <w:rsid w:val="009840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nsaldru.uct.ac.za/bitstream/handle/11090/684/2013_120_Saldruwp.pdf?sequence=1" TargetMode="External"/><Relationship Id="rId18" Type="http://schemas.openxmlformats.org/officeDocument/2006/relationships/hyperlink" Target="http://www.tandfonline.com.ezproxy.uct.ac.za/doi/pdf/10.1080/0376835X.2012.645639" TargetMode="External"/><Relationship Id="rId3" Type="http://schemas.openxmlformats.org/officeDocument/2006/relationships/settings" Target="settings.xml"/><Relationship Id="rId7" Type="http://schemas.openxmlformats.org/officeDocument/2006/relationships/hyperlink" Target="http://www.nids.uct.ac.za" TargetMode="External"/><Relationship Id="rId12" Type="http://schemas.openxmlformats.org/officeDocument/2006/relationships/hyperlink" Target="http://www.tandfonline.com/doi/pdf/10.1080/0376835X.2" TargetMode="External"/><Relationship Id="rId17" Type="http://schemas.openxmlformats.org/officeDocument/2006/relationships/hyperlink" Target="http://www.tandfonline.com/doi/pdf/10.1080/0376835X.2014.984377" TargetMode="External"/><Relationship Id="rId2" Type="http://schemas.openxmlformats.org/officeDocument/2006/relationships/styles" Target="styles.xml"/><Relationship Id="rId16" Type="http://schemas.openxmlformats.org/officeDocument/2006/relationships/hyperlink" Target="http://reference.sabinet.co.za.ezproxy.uct.ac.za/webx/access/electronic_journals/bersee/bersee_v34_n3_a3.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dev.org/sites/default/files/it-all-about-tails-palma-measure-income-inequality.pdf" TargetMode="External"/><Relationship Id="rId5" Type="http://schemas.openxmlformats.org/officeDocument/2006/relationships/footnotes" Target="footnotes.xml"/><Relationship Id="rId15" Type="http://schemas.openxmlformats.org/officeDocument/2006/relationships/hyperlink" Target="http://www.nber.org/papers/w16661.pdf" TargetMode="External"/><Relationship Id="rId10" Type="http://schemas.openxmlformats.org/officeDocument/2006/relationships/hyperlink" Target="http://www.kcl.ac.uk/aboutkings/worldwide/initiatives/global/intdev/people/Sumner/Cobham-Sumner-15March201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pensaldru.uct.ac.za/bitstream/handle/11090/683/2013_119_Saldruwp.pdf?sequence=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halliday@smi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7150</Words>
  <Characters>40756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Windows User</cp:lastModifiedBy>
  <cp:revision>2</cp:revision>
  <dcterms:created xsi:type="dcterms:W3CDTF">2016-07-02T01:29:00Z</dcterms:created>
  <dcterms:modified xsi:type="dcterms:W3CDTF">2016-07-02T01:29:00Z</dcterms:modified>
</cp:coreProperties>
</file>